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PS160135 vom 28. Juli 2016</w:t>
      </w:r>
    </w:p>
    <w:p>
      <w:r>
        <w:t>ZH Obergericht, 2016-07-28, DE</w:t>
      </w:r>
    </w:p>
    <w:p>
      <w:r>
        <w:rPr>
          <w:b/>
        </w:rPr>
        <w:t xml:space="preserve">Quelle: </w:t>
      </w:r>
      <w:r>
        <w:t>https://mcp.opencaselaw.ch/entscheid/zh_obergericht_PS160135</w:t>
      </w:r>
    </w:p>
    <w:p>
      <w:r>
        <w:t>FR: ZH_OBERGERICHT PS160135 du 28 juillet 2016</w:t>
      </w:r>
    </w:p>
    <w:p>
      <w:r>
        <w:t>IT: ZH_OBERGERICHT PS160135 del 28 luglio 2016</w:t>
      </w:r>
    </w:p>
    <w:p>
      <w:pPr>
        <w:pStyle w:val="Heading2"/>
      </w:pPr>
      <w:r>
        <w:t>Erwägungen</w:t>
      </w:r>
    </w:p>
    <w:p>
      <w:r>
        <w:rPr>
          <w:b/>
        </w:rPr>
        <w:t>E. 3</w:t>
      </w:r>
    </w:p>
    <w:p>
      <w:r>
        <w:t>Die Schuldnerin hat es versäumt, die erfolgte Tilgung der Konkursforderung rechtzeitig vor dem Erlass des angefochtenen Urteils dem Konkursgericht mitzu- teilen. Auch wenn die Bezahlung zwei Tage vor dem Termin für die Verhandlung über das Konkursbegehren erfolgte, durfte sich die Schuldnerin nicht darauf ver- lassen, dass eine Teilnahme an der Verhandlung über das Konkursbegehren oder eine Mitteilung an das Konkursgericht nicht mehr erforderlich wäre. Vielmehr war es an ihr, nach dem Erhalt der Vorladung zur Konkursverhandlung vom 7. Juli 2016 (act. 8/3), beim Konkursgericht selber auf die erfolgte Tilgung hinzuweisen. Dies insbesondere mit Blick auf Art. 172 Ziff. 3 SchKG, wonach das Konkursbe- gehren abzuweisen ist, wenn der Schuldner durch Urkunden beweist, dass die Schuld, Zinsen und Kosten inbegriffen, getilgt ist. Die Schuldnerin durfte vor die- sem Hintergrund nicht ohne weiteres davon ausgehen, die entsprechende Mittei- lung durch die Gläubigerin würde rechtzeitig erfolgen. Deshalb hat die Schuldne- rin sowohl die erstinstanzliche Konkurseröffnung als auch das Beschwerdeverfah- ren verursacht. Entsprechend hat sie die Kosten des Beschwerdeverfahrens, die Kosten des erstinstanzlichen Konkursgerichts und die Kosten des Konkursamtes zu tragen (Art. 108 ZPO).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