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PS160117 vom 7. Juli 2016</w:t>
      </w:r>
    </w:p>
    <w:p>
      <w:r>
        <w:t>ZH Obergericht, 2016-07-07, DE</w:t>
      </w:r>
    </w:p>
    <w:p>
      <w:r>
        <w:rPr>
          <w:b/>
        </w:rPr>
        <w:t xml:space="preserve">Quelle: </w:t>
      </w:r>
      <w:r>
        <w:t>https://mcp.opencaselaw.ch/entscheid/zh_obergericht_PS160117</w:t>
      </w:r>
    </w:p>
    <w:p>
      <w:r>
        <w:t>FR: ZH_OBERGERICHT PS160117 du 7 juillet 2016</w:t>
      </w:r>
    </w:p>
    <w:p>
      <w:r>
        <w:t>IT: ZH_OBERGERICHT PS160117 del 7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die Verfügung der Beschwerdegegnerin vom 24. Juli 2015 betreffend Konkurs der C._____ AG in Liquidation aufzuheben bzw. zu berichtigen;</w:t>
      </w:r>
    </w:p>
    <w:p>
      <w:r>
        <w:rPr>
          <w:b/>
        </w:rPr>
        <w:t>E. 2</w:t>
      </w:r>
    </w:p>
    <w:p>
      <w:r>
        <w:t>es sei das Konkursamt Küsnacht anzuweisen, das Guthaben in der Höhe von CHF 1'132'410.89 an die Drittansprecherin gemäss Konkursinventar zu verteilen und dem Beschwerdeführer die Ge- schäftsakten der C._____ AG in Liquidation zu übergeben; eventualiter sei das Konkursamt Küsnacht anzuweisen, dem Be- schwerdeführer die Geschäftsakten der C._____ AG in Liquidati- on sowie das Guthaben in der Höhe von CHF 1'132'410.89 zu übergeben; subeventualiter sei die Übergabe des Guthabens von CHF 1'132'410.89 an die Beschwerdegegnerin unter der Auflage zu bewilligen, dass die Beschwerdegegnerin dieses Guthaben an die Drittansprecherin gemäss Konkursinventar überweist; alles unter Kosten- und Entschädigungsfolgen (zzgl. MwSt) zu Lasten der Beschwerdegegnerin. Mit Eingabe vom 19. Februar 2016 stellte die Beschwerdegegnerin den Antrag, die Beschwerde sei unter Kosten- und Entschädigungsfolgen zulasten des Be- schwerdeführers abzuweisen. Sodann sei die Beschwerdegegnerin aus dem Rubrum zu streichen (act. 34). Nach durchgeführtem Verfahren fällte die Vorinstanz folgendes Urteil (act. 42 = act. 47):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