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PS160067 vom 2. Mai 2016</w:t>
      </w:r>
    </w:p>
    <w:p>
      <w:r>
        <w:t>ZH Obergericht, 2016-05-02, DE</w:t>
      </w:r>
    </w:p>
    <w:p>
      <w:r>
        <w:rPr>
          <w:b/>
        </w:rPr>
        <w:t xml:space="preserve">Quelle: </w:t>
      </w:r>
      <w:r>
        <w:t>https://mcp.opencaselaw.ch/entscheid/zh_obergericht_PS160067</w:t>
      </w:r>
    </w:p>
    <w:p>
      <w:r>
        <w:t>FR: ZH_OBERGERICHT PS160067 du 2 mai 2016</w:t>
      </w:r>
    </w:p>
    <w:p>
      <w:r>
        <w:t>IT: ZH_OBERGERICHT PS160067 del 2 maggio 2016</w:t>
      </w:r>
    </w:p>
    <w:p>
      <w:pPr>
        <w:pStyle w:val="Heading2"/>
      </w:pPr>
      <w:r>
        <w:t>Erwägungen</w:t>
      </w:r>
    </w:p>
    <w:p>
      <w:r>
        <w:rPr>
          <w:b/>
        </w:rPr>
        <w:t>E. 1</w:t>
      </w:r>
    </w:p>
    <w:p>
      <w:r>
        <w:t>Betreffend die Grundstücke Kat. Nr. ..., Grundbuch Blatt ... (Wohn- und Gasthaus A._____), und Kat. Nr. ..., Grundbuch Blatt ... (F._____), sind die Grundpfandverwertungsbetreibungen Nrn. ... und ... pendent. Die Grundstücke wurden zweimal geschätzt und die Durchführung von zwei neuerlichen Schätzun- gen wurde abgelehnt. Mit Verfügung vom 1. März 2016 lehnte das Betreibungs- amt Rüti ein weiteres Gesuch um eine Neuschätzung ab.</w:t>
      </w:r>
    </w:p>
    <w:p>
      <w:r>
        <w:rPr>
          <w:b/>
        </w:rPr>
        <w:t>E. 2</w:t>
      </w:r>
    </w:p>
    <w:p>
      <w:r>
        <w:t>Das Begehren um Anordnung einer neuen Schätzung wird abgewiesen.</w:t>
      </w:r>
    </w:p>
    <w:p>
      <w:r>
        <w:rPr>
          <w:b/>
        </w:rPr>
        <w:t>E. 3</w:t>
      </w:r>
    </w:p>
    <w:p>
      <w:r>
        <w:t>Es werden keine Kosten erhoben.</w:t>
      </w:r>
    </w:p>
    <w:p>
      <w:r>
        <w:rPr>
          <w:b/>
        </w:rPr>
        <w:t>E. 4</w:t>
      </w:r>
    </w:p>
    <w:p>
      <w:r>
        <w:t>Die Beschwerdeführerin kritisiert die Rechtsansicht der Vorinstanz. Insbe- sondere will sie die Bedeutung, die diese Art. 44 VZG beimisst, nicht gelten las- sen. Es sei nicht ersichtlich, warum dieser Artikel, der offensichtlich dem ein- schlägigen Erlass – der VZG – entstamme, einzig auf das Pfändungsverfahren zugeschnitten sein solle. Die Beschwerdeführerin zitiert die umstrittene Bestim- mung wörtlich. Diese nimmt explizit auf die Pfändung Bezug und steht im Ab- schnitt über die Verwertung im Pfändungsverfahren (Art. 8 - 84a VZG). Allerdings wird Art. 44 VZG auch in Art. 102 VZG genannt, der im Verfahren über die Pfand- verwertung steht und lautet: "Auf die Vorbereitung und Durchführung der Verwer- tung sind die Artikel […] 44 - 53 […] entsprechend anwendbar". Das führt dazu, dass er grundsätzlich auch in einer Betreibung auf Grundpfandverwertung beach- tet werden muss.</w:t>
      </w:r>
    </w:p>
    <w:p>
      <w:r>
        <w:rPr>
          <w:b/>
        </w:rPr>
        <w:t>E. 5</w:t>
      </w:r>
    </w:p>
    <w:p>
      <w:r>
        <w:t>Eine Beschwerde gegen diesen Entscheid an das Bundesgericht ist innert</w:t>
      </w:r>
    </w:p>
    <w:p>
      <w:r>
        <w:rPr>
          <w:b/>
        </w:rPr>
        <w:t>E. 10</w:t>
      </w:r>
    </w:p>
    <w:p>
      <w:r>
        <w:t>Tagen von der Zustellung an beim Schweizerischen Bundesgericht,</w:t>
      </w:r>
    </w:p>
    <w:p>
      <w:r>
        <w:t>- 13 - 1000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Prof. Dr. I. Jent-Sørensen versandt am: 3.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