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PS150208 vom 11. Dezember 2015</w:t>
      </w:r>
    </w:p>
    <w:p>
      <w:r>
        <w:t>ZH Obergericht, 2015-12-11, DE</w:t>
      </w:r>
    </w:p>
    <w:p>
      <w:r>
        <w:rPr>
          <w:b/>
        </w:rPr>
        <w:t xml:space="preserve">Quelle: </w:t>
      </w:r>
      <w:r>
        <w:t>https://mcp.opencaselaw.ch/entscheid/zh_obergericht_PS150208</w:t>
      </w:r>
    </w:p>
    <w:p>
      <w:r>
        <w:t>FR: ZH_OBERGERICHT PS150208 du 11 décembre 2015</w:t>
      </w:r>
    </w:p>
    <w:p>
      <w:r>
        <w:t>IT: ZH_OBERGERICHT PS150208 del 11 dicembre 2015</w:t>
      </w:r>
    </w:p>
    <w:p>
      <w:pPr>
        <w:pStyle w:val="Heading2"/>
      </w:pPr>
      <w:r>
        <w:t>Erwägungen</w:t>
      </w:r>
    </w:p>
    <w:p>
      <w:r>
        <w:rPr>
          <w:b/>
        </w:rPr>
        <w:t>E. 1</w:t>
      </w:r>
    </w:p>
    <w:p>
      <w:r>
        <w:t>Mit Urteil des Bundesgerichts vom 1. September 2014 wurde die Beschwer- deführerin verpflichtet, der Beschwerdegegnerin Fr. 48'451.30 zzgl. Zins von 5% seit 22. Mai 2011 zu bezahlen (act. 12/4). Es handelt sich dabei um eine Überent- schädigung von Invalidenleistungen der beruflichen Vorsorge, mithin um un- rechtmässig bezogene Leistungen (vgl. act. 12/4). Da die Beschwerdeführerin ih- rer Zahlungsverpflichtung nicht nachkam, reichte die Beschwerdegegnerin am 19. Januar 2015 (Datum Poststempel) ihr Betreibungsbegehren ein (act. 3/7/1; act. 14/8). Nach Zustellung des Zahlungsbefehls vom 20. Januar 2015 (act. 12/10) sowie nach Stellung des Fortsetzungsbegehrens (act. 12/11; act. 14/2) vollzog das Betreibungsamt Dietikon (nachfolgend Betreibungsamt) am 19. Februar 2015 in der Pfändung Nr. ... die Einkommenspfändung (act. 3/2/1; act. 12/12; act. 14/1). Der … Versicherungs-Gesellschaft wurde eine entspre- chende Anzeige der Einkommenspfändung gemacht (act. 3/5/1; act. 14/9). Gegen die vollzogene Pfändung bzw. Pfändungsurkunde setzte sich die Beschwerdefüh- rerin mit Eingabe vom 20. April 2015 bei der Vorinstanz als untere kantonale Auf- sichtsbehörde in Schuldbetreibungs- und Konkurssachen (nachfolgend Vo- rinstanz) zur Wehr (act. 1, nachfolgend erste Pfändungsurkunde bzw. Beschwer- de). Während des laufenden Beschwerdeverfahrens zog das Betreibungsamt die Pfändungsurkunde in Wiedererwägung und ersetzte diese durch eine neue Pfän- dungsurkunde (act. 14/6; act. 16/6; act. 26/1; act. 2/2/1), gegen welche die Be- schwerdeführerin mit Eingabe vom 18. Mai 2015 ebenfalls Beschwerde bei der Vorinstanz erhob (act. 44/1; nachfolgend zweite Pfändungsurkunde bzw. Be- schwerde). Mit Beschluss vom 21. Oktober 2015 vereinigte die Vor instanz die beiden vorgenannten Beschwerden und wies sie nach Durchführung des Beschwerdeverfahrens mit Urteil vom 21. Oktober 2015 ab, soweit sie darauf eintrat bzw. diese nicht gegenstandslos geworden waren (act. 45 = act. 48 = act. 50; nachfolgend zitiert als act. 48).</w:t>
      </w:r>
    </w:p>
    <w:p>
      <w:r>
        <w:t>- 3 -</w:t>
      </w:r>
    </w:p>
    <w:p>
      <w:r>
        <w:rPr>
          <w:b/>
        </w:rPr>
        <w:t>E. 2</w:t>
      </w:r>
    </w:p>
    <w:p>
      <w:r>
        <w:t>Es sei das Erkenntnis vom 21.10.2015 des Bezirksgerichtes Dietikon auf- zuheben.</w:t>
      </w:r>
    </w:p>
    <w:p>
      <w:r>
        <w:rPr>
          <w:b/>
        </w:rPr>
        <w:t>E. 3</w:t>
      </w:r>
    </w:p>
    <w:p>
      <w:r>
        <w:t>Es sei die Beschwerde vom 20.04.2015 (CB-150005) infolge Anerken- nung gutzuheissen.</w:t>
      </w:r>
    </w:p>
    <w:p>
      <w:r>
        <w:rPr>
          <w:b/>
        </w:rPr>
        <w:t>E. 4</w:t>
      </w:r>
    </w:p>
    <w:p>
      <w:r>
        <w:t>Es sei die Beschwerde vom 18.05.2015 (CB-150007) als solche zu be- handeln und gutzuheissen.</w:t>
      </w:r>
    </w:p>
    <w:p>
      <w:r>
        <w:rPr>
          <w:b/>
        </w:rPr>
        <w:t>E. 5</w:t>
      </w:r>
    </w:p>
    <w:p>
      <w:r>
        <w:t>Es sei Nichtigkeit, bzw. Rechtswidrigkeit von Pfändungsverfahren, Pfän- dungsurkunde und Pfändung Nr. ... des Betreibungsamtes Dietikon fest- zustellen, bzw. es sei die Pfändung aufzuheben und die Auszah- lung/Rückzahlung der rechtswidrig ans Betreibungsamt Dietikon überwie- senen Zahlungen/UVG-Rentenleistungen anzuordnen.</w:t>
      </w:r>
    </w:p>
    <w:p>
      <w:r>
        <w:rPr>
          <w:b/>
        </w:rPr>
        <w:t>E. 6</w:t>
      </w:r>
    </w:p>
    <w:p>
      <w:r>
        <w:t>In Bezug auf die Pfändungsurkunde bringt die Beschwerdeführerin diverse Einwände vor. Auf die konkreten Rügen ist im Folgenden näher einzugehen: Auf die geltend gemachte fehlende Unterzeichnung der ersten Pfändungsurkunde (act. 14/1; act. 49 Ziff. 2.2.1.1.1. S. 14) braucht nicht eingegangen zu werden, da – wie gesagt – die zweite Pfändungsurkunde massgebend ist. Diese ist unter- zeichnet (act. 14/6). Im Übrigen, insbesondere betreffend Zulässigkeit von Faksi- milestempel, kann auf die zutreffenden Erwägungen der Vorinstanz verwiesen werden (act. 48 E. II.4.3.). Nebst der fehlenden Unterzeichnung kritisiert die Beschwerdeführerin die fehlen- de Datierung der Pfändungsurkunde (act. 49 Ziff. 2.2.1.1.1. S. 14) und die falsche Stundenangabe des Pfändungsvollzugs (act. 49 Ziff. 2.2.1.1.4. S. 17 f.). Nach Art. 112 Abs. 1 SchKG ist in der Pfändungsurkunde u.a. der Tag und die Stunde der Pfändung anzugeben. Als Datum ist nicht der Tag der Ausstellung der Pfän- dungsurkunde, sondern des Pfändungsvollzuges anzugeben. Dies ist vorliegend geschehen (vgl. act. 14/6 letzte Seite). Eine Vorschrift, wonach in der Pfändungs- urkunde auch ihr Erstelldatum anzugeben ist, gibt es nicht. Die in der Pfändungs- urkunde (act. 14/6) angegebene Stunde deckt sich sodann mit derjenigen im Pfändungsprotokoll (act. 14/9). Selbst wenn dem aber nicht so wäre, würde dies die Gültigkeit des Pfändungsvollzugs nicht berühren (vgl. BSK SchKG I-Jent- Sørensen, 2. Aufl., Art. 112 N 3). Hinzu kommt, dass die Beschwerdeführerin we- der bezüglich der allenfalls falschen Uhrzeit noch des fehlenden Erstelldatums ausführt, inwiefern diese beiden Umstände einen Einfluss auf die vollzogene Pfändung haben sollen oder inwieweit ihr dadurch ein Nachteil erwachsen sein</w:t>
      </w:r>
    </w:p>
    <w:p>
      <w:r>
        <w:t>- 9 - soll. Es fehlt ihr daher bereits an der erforderlichen Beschwer, weshalb darauf nicht einzutreten ist. Des Weiteren bringt die Beschwerdeführerin vor, das Pfändungsobjekt müsse klar und unzweideutig bezeichnet sein. Nach der Pfändungsurkunde sei statt einer "UVG-Rente" eine "BVG-Rente" gepfändet worden. Durch diese fehlerhafte Be- zeichnung erweise sich die Verfügung als unrichtig (act. 49 Ziff. 2.2.1.1.3. S. 15 f.). Wie bereits die Vorinstanz ausgeführt hat, handelt es sich dabei um ei- nen offensichtlichen Verschrieb (vgl. act. 48 E. III.4.3.). Vorliegend erfolgte der Pfändungsvollzug hinsichtlich der richtigen Rente, nämlich der Invalidenrente der obligatorischen Unfallversicherung. Da demzufolge nicht ersichtlich ist, weshalb der Beschwerdeführerin durch die unrichtige Bezeichnung ein Nachteil erwachsen sein soll, ist auf diese Rüge mangels Beschwer ebenfalls nicht einzutreten. So- dann geht auch ihre Rüge fehl, die Pfändungsurkunde informiere nicht über die zeitliche Reichweite der Lohnpfändung (act. 49 Ziff. 2.2.1.1.6. S. 19). Der Pfän- dungsurkunde ist unverkennbar zu entnehmen, dass die Pfändung längstens bis zum 19. Februar 2016 dauert (vgl. act. 14/6 letzte Seite oben). Schliesslich bringt die Beschwerdeführerin vor, ihrer Ansicht nach entfalte die Pfändungsurkunde ihre Wirkung nur, wenn sie in einem gesetzlich fairen Verfah- ren eröffnet und zugestellt worden sei. Die Zustellung einer Abschrift genüge nicht (act. 49 Ziff. 2.2.1.2. S. 20, vgl. auch Ziff. 2.2.1.2.3. S. 21 f.). Die Pfändungsur- kunde sei der Schuldnerin vollständig, förmlich und als solche bezeichnet im Ori- ginal sowie unverzüglich nach deren Ausfertigung (act. 49 Ziff. 2.2.1.2.1. S. 21) bzw. nach Ablauf der Teilnahmefrist zuzustellen (act. 49 Ziff. 2.2.1.2.2. S. 21). Nach Art. 114 SchKG ist den Gläubigern und dem Schuldner nach Ablauf der 30- tägigen Teilnahmefrist eine Abschrift der Pfändungsurkunde zuzustellen. Die Zu- stellung der Abschrift der Pfändungsurkunde ist keine Voraussetzung für die Gül- tigkeit der Pfändung. Sie ist nicht Bestandteil des Pfändungsaktes und gehört denn auch nicht zur Pfändung selbst, sondern folgt ihr nach. Dies gilt jedoch nur, wenn der Schuldner – wie hier – bei der Pfändung anwesend war und die Pfän- dungswirkung daher bereits eingetreten ist (BSK SchKG I-Jent- Sørensen, 2. Aufl., Art. 112 N 17). Da sich die Beschwerdeführerin gegen beide Pfändungs-</w:t>
      </w:r>
    </w:p>
    <w:p>
      <w:r>
        <w:t>- 10 - urkunden rechtzeitig zur Wehr setzen konnte und keine Anhaltspunkte für eine mangelhafte Eröffnung oder Zustellung der Pfändungsurkunde vorliegen, erweist sich auch diese Rüge als unbegründet.</w:t>
      </w:r>
    </w:p>
    <w:p>
      <w:r>
        <w:rPr>
          <w:b/>
        </w:rPr>
        <w:t>E. 7</w:t>
      </w:r>
    </w:p>
    <w:p>
      <w:r>
        <w:t>In Bezug auf das Existenzminimum und das für die Betreibung relevante Einkommen bringt die Beschwerdeführerin vor, das Betreibungsamt bzw. die Vor- instanz hätten eine falsche Berechnung angestellt. Ausserdem habe die Vor- instanz ihr Vorbringen nicht berücksichtigt, wonach durch die vorgenommene Be- rechnung nicht nur ihr Einkommen, sondern auch dasjenige ihres Ehemannes gepfändet werde. Die Vorinstanz habe dazu lediglich auf die verwendeten Richtli- nien verwiesen. Eheliche Beistandspflichten, so die Beschwerdeführerin weiter, würden nichts daran ändern, dass für Schulden der Ehegatten nur das Vermögen und das Einkommen des schuldnerischen Ehegatten hafte (act. 49 Ziff. 2.1.2. S. 8). Die Vorinstanz hat korrekt erläutert, wie vorzugehen ist, wenn bei einem von zwei Ehegatten – mit je eigenem Einkommen – gepfändet werden muss (vgl. act. 48 E. III.5.). Eine Verletzung der Begründungspflicht kann ihr folglich nicht zum Vor- wurf gemacht werden (vgl. act. 49 Ziff. 2.1.2. S. 8). Die Beschwerdeführerin kann daher lediglich erneut darauf hingewiesen werden, dass bei der Pfändung eines Ehegatten das Einkommen und das Existenzminimum beider Ehegatten von Be- deutung ist (BGE 114 III 12 E. 3). Die Vorgehensweise der Bedarfsberechnung bei der Prüfung des Anspruchs auf unentgeltliche Rechtspflege (vgl. act. 49 Ziff. 2.1.2. S. 9) kommt hier nicht zur Anwendung. Die weiteren in diesem Zu- sammenhang pauschal gehaltenen Rügen der Beschwerdeführerin sind nicht stichhaltig (vgl. insbesondere act. 49 Ziff. 2.1.2. S. 10) und geben zu keiner ande- ren Beurteilung Anlass. Im Zusammenhang mit dem Existenzminimum rügt die Beschwerdeführerin aus- serdem, die von ihr geltend gemachten, regelmässig anfallenden Behandlungs- kosten seien nicht berücksichtigt worden. Anlässlich der Pfändungsaufnahme sei sie "auf später" verwiesen worden (act. 49 Ziff. 2.2.1.1.5. S. 18 f.). Die Vorinstanz führte hierzu aus, die Beschwerdeführerin habe die zusätzlich (zu den im Exis- tenzminimum berücksichtigten Positionen) geltend gemachten Beträge nicht be-</w:t>
      </w:r>
    </w:p>
    <w:p>
      <w:r>
        <w:t>- 11 - legt. Die Vorinstanz erwog daher zu Recht, dass die pauschal geltend gemachten "ungedeckten Heilungskosten" im Existenzminimum nicht zu berücksichtigt seien. Überdies ist auf die korrekte Erläuterung der Vorinstanz zu Art. 93 Ziff. 3 SchKG zu verweisen, wonach die Pfändung den neuen Verhältnissen angepasst werden könne, wenn sich die für die Bestimmung des pfändbaren Betrages massgeben- den Verhältnisse geändert hätten resp. belegt werden (vgl. act. 48 E. III.5.4.).</w:t>
      </w:r>
    </w:p>
    <w:p>
      <w:r>
        <w:rPr>
          <w:b/>
        </w:rPr>
        <w:t>E. 8</w:t>
      </w:r>
    </w:p>
    <w:p>
      <w:r>
        <w:t>Ferner macht die Beschwerdeführerin sinngemäss eine Tilgung durch Ver- rechnung geltend (vgl. act. 49 Ziff. 2.3.4. S. 32 f.). Unabhängig davon, dass das Vorbringen der Beschwerdeführerin ohnehin unsubstanziert ist, hat bereits die Vorinstanz zu Recht darauf hingewiesen, dass die Aufsichtsbehörde nur formelle Mängel des Betreibungsverfahrens überprüfen kann und nicht befugt ist, die ma- terielle Begründetheit der in Betreibung gesetzten Forderung zu beurteilen (act. 48 E. III.8.3.), was auch für das Betreibungsamt gilt (vgl. OGer vom 19. Oktober 2015 PS150169 E. II.2.).</w:t>
      </w:r>
    </w:p>
    <w:p>
      <w:r>
        <w:rPr>
          <w:b/>
        </w:rPr>
        <w:t>E. 9</w:t>
      </w:r>
    </w:p>
    <w:p>
      <w:r>
        <w:t>Gegen die Nichtgewährung der unentgeltlichen Rechtspflege wendet die Beschwerdeführerin ein, die Vorinstanz habe ihr Gesuch ungeprüft gelassen. Sie habe den Verweis auf die im Pfändungsverfahren festgestellten "Daten" als unge- nügend beurteilt. Im Sinne der richterlichen Fragepflicht hätte die Vorinstanz ihr Gelegenheit einräumen müssen, die verwiesenen "Daten" detailliert einzureichen (act. 49 Ziff. 2.3.5. S. 33 f.). Die Vorinstanz hat – wie sie auch in ihrem Entscheid festhielt (vgl. act. 48 E. III. 4.) – die Beschwerdeführerin mit Verfügung vom 9. und</w:t>
      </w:r>
    </w:p>
    <w:p>
      <w:r>
        <w:rPr>
          <w:b/>
        </w:rPr>
        <w:t>E. 11</w:t>
      </w:r>
    </w:p>
    <w:p>
      <w:r>
        <w:t>Schliesslich erweist sich die Rüge der Beschwerdeführerin als unsubstan- ziert, wonach ihre Akteneinsichtsgesuche "unbedient" geblieben seien (act. 49 Ziff. 2.1. S. 7 und Ziff. 2.3.1.3. S. 29). Damit setzt sich die Beschwerdeführerin mit den ausführlichen Abhandlungen der Vorinstanz (vgl. act. 48 E. III.2.2.) nicht aus- einander und vermag sie dem vorinstanzlichen Entscheid nichts entgegenzusetz- ten.</w:t>
      </w:r>
    </w:p>
    <w:p>
      <w:r>
        <w:rPr>
          <w:b/>
        </w:rPr>
        <w:t>E. 12</w:t>
      </w:r>
    </w:p>
    <w:p>
      <w:r>
        <w:t>Nach dem Gesagten ist die Beschwerde abzuweisen, soweit darauf einzu- treten ist. Daran vermögen auch die unsubstanzierten Rügen, wonach die Vor- instanz die Beschwerde(n) der Beschwerdeführerin nicht verfassungsmässig be- handelt bzw. eine Verletzung von Art. 30 BV begangen habe (vgl. insbesondere act. 49 Ziff. 2.3.1.3. S. 29 und Ziff. 2.3.3. S. 31; vgl. auch act. 48 E. III.2.3.) und das Betreibungs- sowie Pfändungsverfahren mangelhaft durchgeführt worden seien (vgl. insbesondere act. 49 Ziff. 2.1. S. 6 f., Ziff. 2.3.1. S. 23 f.), nichts zu än- dern. III. Das Verfahren vor den kantonalen Aufsichtsbehörden ist kostenlos und Parteient- schädigungen werden nicht zugesprochen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