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PS150200 vom 27. November 2015</w:t>
      </w:r>
    </w:p>
    <w:p>
      <w:r>
        <w:t>ZH Obergericht, 2015-11-27, DE</w:t>
      </w:r>
    </w:p>
    <w:p>
      <w:r>
        <w:rPr>
          <w:b/>
        </w:rPr>
        <w:t xml:space="preserve">Quelle: </w:t>
      </w:r>
      <w:r>
        <w:t>https://mcp.opencaselaw.ch/entscheid/zh_obergericht_PS150200</w:t>
      </w:r>
    </w:p>
    <w:p>
      <w:r>
        <w:t>FR: ZH_OBERGERICHT PS150200 du 27 novembre 2015</w:t>
      </w:r>
    </w:p>
    <w:p>
      <w:r>
        <w:t>IT: ZH_OBERGERICHT PS150200 del 27 novembre 2015</w:t>
      </w:r>
    </w:p>
    <w:p>
      <w:pPr>
        <w:pStyle w:val="Heading2"/>
      </w:pPr>
      <w:r>
        <w:t>Erwägungen</w:t>
      </w:r>
    </w:p>
    <w:p>
      <w:r>
        <w:rPr>
          <w:b/>
        </w:rPr>
        <w:t>E. 1</w:t>
      </w:r>
    </w:p>
    <w:p>
      <w:r>
        <w:t>Sachverhalt und Prozessgeschichte</w:t>
      </w:r>
    </w:p>
    <w:p>
      <w:r>
        <w:rPr>
          <w:b/>
        </w:rPr>
        <w:t>E. 1.1</w:t>
      </w:r>
    </w:p>
    <w:p>
      <w:r>
        <w:t>Die Schuldnerin ist seit dem 27. März 2013 im Handelsregister des Kantons Zürich eingetragen. Gemäss Handelsregistereintrag bezweckt sie im Wesentli- chen die Ausführung von Schalungsarbeiten aller Art, Ausschalungen von Mauern und die Durchführung von Renovationsarbeiten im Hochbau (act. 5/1 und 6).</w:t>
      </w:r>
    </w:p>
    <w:p>
      <w:r>
        <w:rPr>
          <w:b/>
        </w:rPr>
        <w:t>E. 1.2</w:t>
      </w:r>
    </w:p>
    <w:p>
      <w:r>
        <w:t>Mit Urteil vom 27. Oktober 2015 (act. 3 = 7 = 8/5) eröffnete das Konkursge- richt des Bezirksgerichts Uster den Konkurs über die Schuldnerin für die Forde- rung der Gläubigerin von insgesamt Fr. 2'857.70 samt Zinsen und Kosten. Gegen diesen Entscheid erhob die Schuldnerin beim Obergericht des Kantons Zürich mit Eingabe vom 6. November 2015 Beschwerde. Sie verlangt, die Konkurseröffnung sei aufzuheben, da sie die Forderung nach Konkurseröffnung beim Obergericht zugunsten der Gläubigerin hinterlegt habe und überdies zahlungsfähig sei. Pro- zessual beantragte sie die Gewährung der aufschiebenden Wirkung (act. 2).</w:t>
      </w:r>
    </w:p>
    <w:p>
      <w:r>
        <w:rPr>
          <w:b/>
        </w:rPr>
        <w:t>E. 1.3</w:t>
      </w:r>
    </w:p>
    <w:p>
      <w:r>
        <w:t>Mit Präsidialverfügung vom 9. November 2015 (act. 9) wurde der Beschwer- de einstweilen die aufschiebende Wirkung erteilt und der Schuldnerin Frist ange- setzt, den Kostenvorschuss zu bezahlen. Diesen leistete die Schuldnerin fristge- recht (act. 12). Mit Schreiben vom 19. November 2015 teilte der Rechtsvertreter der Schuldnerin mit, dass er die Schuldnerin nicht mehr vertrete (act. 11). Ent- sprechend wurde das Rubrum angepasst. Die vorinstanzlichen Akten wurden bei- gezogen (act. 8/1-10). Das Verfahren ist spruchreif.</w:t>
      </w:r>
    </w:p>
    <w:p>
      <w:r>
        <w:rPr>
          <w:b/>
        </w:rPr>
        <w:t>E. 2</w:t>
      </w:r>
    </w:p>
    <w:p>
      <w:r>
        <w:t>Materielles</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w:t>
      </w:r>
    </w:p>
    <w:p>
      <w:r>
        <w:t>- 3 - schränkt zugelassen, unabhängig davon, ob sie vor oder nach dem erstinstanzli- chen Entscheid ergangen sind.</w:t>
      </w:r>
    </w:p>
    <w:p>
      <w:r>
        <w:rPr>
          <w:b/>
        </w:rPr>
        <w:t>E. 2.2</w:t>
      </w:r>
    </w:p>
    <w:p>
      <w:r>
        <w:t>Die Schuldnerin hat mit Postquittung vom 5. November 2015 (act. 5/3) be- legt, dass sie die Konkursforderung samt Zinsen und Kosten beim Obergericht zuhanden der Gläubigerin hinterlegt hat (vgl. auch act. 13). Weiter hat die Schuldnerin belegt, Fr. 500.– beim Konkursamt Dübendorf zur Deckung der erst- instanzlichen Spruchgebühr und der bis anhin entstandenen und noch entstehen- den Kosten des Konkursamtes sichergestellt zu haben (act. 5/4). Damit ist der Konkursaufhebungsgrund der Hinterlegung (Art. 174 Abs. 2 Ziff. 2 SchKG) nach- gewiesen.</w:t>
      </w:r>
    </w:p>
    <w:p>
      <w:r>
        <w:rPr>
          <w:b/>
        </w:rPr>
        <w:t>E. 2.3</w:t>
      </w:r>
    </w:p>
    <w:p>
      <w:r>
        <w:t>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Wesentlichen Aufschluss über das Zahlungsverhalten und die finanzielle Lage ei- ner Gesellschaft vermittelt insbesondere das Betreibungsregister. Die Schuldnerin reichte einen Auszug des Betreibungsregisters vom 5. November 2015 (act. 5/6) ein, woraus ersichtlich ist, dass neben der Betreibung der nun hinterlegten Kon- kursforderung noch sieben weitere Betreibungen bestehen. Vier davon wurden aber bereits mit Bezahlung beim Betreibungsamt erledigt (Code 105). Von den restlichen drei Betreibungen sind zwei im Stadium der Konkursandrohung (Code 207) und in einer wurde der Zahlungsbefehl zugestellt (Code 102). Die Gesamt- summe der noch offenen Betreibungsforderungen beträgt Fr. 3'730.95.</w:t>
      </w:r>
    </w:p>
    <w:p>
      <w:r>
        <w:t>- 4 - Zur Glaubhaftmachung ihrer Zahlungsfähigkeit führte die Schuldnerin aus, die Er- tragslage sei zu Beginn zwar eher schwach gewesen, nun habe sich das Ge- schäft entwickelt und seit ein paar Monaten habe sie neben ihrem Gesellschafter noch einen Angestellten. Das Geschäftskonto habe einen ausgeglichenen Saldo und verzeichne Ein- und Ausgänge. Die Forderung der Gläubigerin sei verhält- nismässig klein, Schulden gegenüber Bauherren, Lieferanten oder anderen Bau- firmen habe sie keine. Zur Objektivierung dieser Ausführungen reichte die Schuldnerin einen Kontoauszug ins Recht, welcher Einnahmen und Ausgaben in der Periode vom 7. Juli 2015 bis zum 5. November 2015 ausweist (act. 5/5). Per</w:t>
      </w:r>
    </w:p>
    <w:p>
      <w:r>
        <w:rPr>
          <w:b/>
        </w:rPr>
        <w:t>E. 5</w:t>
      </w:r>
    </w:p>
    <w:p>
      <w:r>
        <w:t>November 2015 betrug der Kontostand Fr. 2'501.53. Weiter ergibt sich aus dem Kontoauszug, dass die Schuldnerin regelmässige Gutschriften zu verzeich- nen hat und Löhne ausbezahlt. Mit ihren Ausführungen und den vorgelegten Dokumenten hat die Schuldnerin glaubhaft gemacht, dass sie in der Lage ist, ihren laufenden Verbindlichkeiten nachzukommen und daneben bestehende Schulden abzutragen. Insbesondere sind die noch offenen Betreibungsforderungen nicht sehr hoch. Entsprechend ist die Beschwerde gutzuheissen und der Konkurs aufzuheben. 3. Kosten Die Kosten beider Instanzen hat die Schuldnerin zu tragen, da sie durch die ver- 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