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PS150049 vom 17. April 2015</w:t>
      </w:r>
    </w:p>
    <w:p>
      <w:r>
        <w:t>ZH Obergericht, 2015-04-17, DE</w:t>
      </w:r>
    </w:p>
    <w:p>
      <w:r>
        <w:rPr>
          <w:b/>
        </w:rPr>
        <w:t xml:space="preserve">Quelle: </w:t>
      </w:r>
      <w:r>
        <w:t>https://mcp.opencaselaw.ch/entscheid/zh_obergericht_PS150049</w:t>
      </w:r>
    </w:p>
    <w:p>
      <w:r>
        <w:t>FR: ZH_OBERGERICHT PS150049 du 17 avril 2015</w:t>
      </w:r>
    </w:p>
    <w:p>
      <w:r>
        <w:t>IT: ZH_OBERGERICHT PS150049 del 17 aprile 2015</w:t>
      </w:r>
    </w:p>
    <w:p>
      <w:pPr>
        <w:pStyle w:val="Heading2"/>
      </w:pPr>
      <w:r>
        <w:t>Erwägungen</w:t>
      </w:r>
    </w:p>
    <w:p>
      <w:r>
        <w:rPr>
          <w:b/>
        </w:rPr>
        <w:t>E. 1.1</w:t>
      </w:r>
    </w:p>
    <w:p>
      <w:r>
        <w:t>Der Beschwerdeführer gelangte mit Eingabe vom 21. Januar 2015 (persön- lich überbracht am 28. Januar 2015) an das Bezirksgericht Dietikon als untere Aufsichtsbehörde über die Betreibungsämter und erklärte, dass er über kein neu- es Vermögen verfüge und wegen krankheitsbedingten Gedächtnislücken keinen Rechtsvorschlag erhoben habe (act. 1). Als Beilagen reichte er eine Pfändungs- ankündigung des Betreibungsamtes Geroldswil-Oetwil-Weiningen vom</w:t>
      </w:r>
    </w:p>
    <w:p>
      <w:r>
        <w:rPr>
          <w:b/>
        </w:rPr>
        <w:t>E. 1.2</w:t>
      </w:r>
    </w:p>
    <w:p>
      <w:r>
        <w:t>Gegen diesen Beschluss erhob der Beschwerdeführer mit Schreiben vom 26. März 2015 Beschwerde an die Kammer als obere kantonale Aufsichtsbehörde in Schuldbetreibungs- und Konkurssachen (act. 7). Die vorinstanzlichen Akten wurden beigezogen (act. 1-4). Auf das Einholen einer Beschwerdeantwort und ei- ner Vernehmlassung der Vorinstanz wurde verzichtet (Art. 322 ZPO und Art. 324 ZPO). Die Sache erweist sich als spruchreif. 2. 2.1. Das Verfahren der Aufsichtsbeschwerde in Schuldbetreibungs- und Kon- kurssachen richtet sich nach den Bestimmungen von Art. 20a Abs. 2 SchKG. So- weit Art. 20a Abs. 2 SchKG keine Bestimmungen enthält, regeln die Kantone das</w:t>
      </w:r>
    </w:p>
    <w:p>
      <w:r>
        <w:t>- 3 -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2.2. 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 sind im Beschwerdeverfahren ausgeschlossen (Art. 326 ZPO). Das gilt auch im zweitinstanzlichen betreibungsrechtlichen Beschwerdeverfahren (vgl. OGer ZH PS110019, Urteil vom 21. Februar 2011, E. 3.4). 2.3. Die vorliegende Beschwerde wurde innert der Rechtsmittelfrist schriftlich bei der Kammer als der zuständigen Rechtsmittelinstanz eingereicht. Der Beschwer- deführer hält darin an seinem vorinstanzlichen Gesuch fest und reicht ein neues Arztzeugnis vom 26. März 2015 ein (act. 7 und act. 9/3; siehe nachfolgend E. 3.2.). Die Beschwerde enthält damit wenigstens sinngemäss Anträge und eine Begründung. Ferner ist der Beschwerdeführer durch den angefochtenen Ent- scheid beschwert und zur Beschwerde legitimiert. Es ist daher auf die Beschwer- de einzutreten. 3. 3.1. Die Vorinstanz legt in ihrem Entscheid die rechtlichen Grundlagen der Frist- wiederherstellung nach Art. 33 Abs. 4 i.V.m. Art. 74 Abs. 1 SchKG zutreffend dar. Um unnötige Wiederholungen zu vermeiden, kann darauf verwiesen werden (act. 6 S. 2 f.). Gestützt auf diese Ausführungen begründet die Vorinstanz ihren Nichteintretensentscheid mit dem Umstand, der Beschwerdeführer habe mit dem am 28. Januar 2015 dem Gericht überbrachten Gesuch die Wiederherstellungs-</w:t>
      </w:r>
    </w:p>
    <w:p>
      <w:r>
        <w:t>- 4 - frist verpasst. Sie erwog, der Beschwerdeführer habe eine vollumfängliche Ar- beitsunfähigkeit nur bis zum 30. November 2014 belegt. Es sei deshalb davon auszugehen, dass ab dem 1. Dezember 2014 keine gesundheitliche Beeinträchti- gung des Beschwerdeführers mehr bestanden habe und dieser in der Lage ge- wesen wäre, ein Gesuch um Wiederherstellung der Rechtsvorschlagsfrist zu stel- len. Die zehntägige Wiederherstellungsfrist sei somit am 11. Dezember 2014 ab- gelaufen. Im Weiteren erwog sie, dass die Bescheinigung einer Arbeitsunfähigkeit alleine ohnehin nicht ausgereicht hätte, um die objektive oder unverschuldete persönliche Unmöglichkeit eines fristgerechten Rechtshandelns zu belegen (act. 6 S. 3 f.). 3.2. Der Beschwerdeführer macht mit der Beschwerde geltend, aus gesundheitli- chen Gründen den Rechtsvorschlagsgrund (Einrede des mangelnden neuen Vermögens) nicht erhoben zu haben. Die Vorinstanz habe diesen "Einspruch" nicht beachtet, weil er kein detailliertes Arztzeugnis vorgelegt habe. Gestützt auf die bisherigen Unterlagen und ein detailliertes Arztzeugnis ersuche er um erneute Beurteilung (act. 7). Gleichzeitig legt der Beschwerdeführer ein Arztzeugnis vom 26. März 2015 vor, wonach er aufgrund seiner Grunderkrankung (Angststörung, depressive Affektstö- rung) und damit verbundenen phasenweisen Konzentrations- und Gedächtnisstö- rungen in der Fähigkeit eingeschränkt sei, administrative Angelegenheiten fristge- recht zu erledigen. Die Aufmerksamkeit und das Gedächtnis seien zusätzlich durch die angstlindernde Medikation beeinträchtigt (act. 9/3). 3.3. Die Beschwerde stützt sich damit einzig auf das neu eingereichte Arztzeug- nis vom 26. März 2015. Dabei handelt es sich allerdings um ein neues Beweismit- tel, welches auf Grund des geltenden Novenausschlusses (vgl. E. 2.2. vorste- hend) nicht berücksichtigt werden kann. Im Übrigen bringt der Beschwerdeführer nichts gegen den vorinstanzlichen Entscheid vor, weshalb die Beschwerde abzu- weisen ist.</w:t>
      </w:r>
    </w:p>
    <w:p>
      <w:r>
        <w:t>- 5 - 3.4. Damit bleibt es bei der verpassten Frist zur Erhebung des Rechtsvorschla- ges mangels neuen Vermögens. Lediglich ergänzend kann erwähnt werden, dass sich für den Beschwerdeführer aber auch bei diesem Ergebnis zumindest in fi- nanzieller Hinsicht kaum ein Nachteil ergeben dürfte, zumal den Akten entnom- men werden kann, dass er von der Fürsorgebehörde Weiningen seit dem</w:t>
      </w:r>
    </w:p>
    <w:p>
      <w:r>
        <w:rPr>
          <w:b/>
        </w:rPr>
        <w:t>E. 4</w:t>
      </w:r>
    </w:p>
    <w:p>
      <w:r>
        <w:t>Dezember 2014 betreffend eine Forderung der Beschwerdegegnerin samt ent- sprechendem Verlustschein vom 20. Januar 2015 (act. 2/1 und act. 2/2) sowie ein Arztzeugnis, eine ärztliche Stellungnahme und eine Bestätigung der Sozialen Dienste Weiningen ins Recht (act. 2/3-5). Die Pfändungsankündigung enthält zu- dem eine handschriftliche Anmerkung mit dem Inhalt: "Wiederherstellung der Rechtsvorschlagsfrist (Gedächtnislücken) mit Arztzeugnis". Das Bezirksgericht Dietikon nahm die Eingabe des Beschwerdeführers als sinngemässes Gesuch um Wiederherstellung der Rechtsvorschlagsfrist im Sinne von Art. 33 Abs. 4 SchKG entgegen und trat darauf mit Beschluss vom 10. März 2015 nicht ein (act. 3 = act.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