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PS150022 vom 19. März 2015</w:t>
      </w:r>
    </w:p>
    <w:p>
      <w:r>
        <w:t>ZH Obergericht, 2015-03-19, DE</w:t>
      </w:r>
    </w:p>
    <w:p>
      <w:r>
        <w:rPr>
          <w:b/>
        </w:rPr>
        <w:t xml:space="preserve">Quelle: </w:t>
      </w:r>
      <w:r>
        <w:t>https://mcp.opencaselaw.ch/entscheid/zh_obergericht_PS150022</w:t>
      </w:r>
    </w:p>
    <w:p>
      <w:r>
        <w:t>FR: ZH_OBERGERICHT PS150022 du 19 mars 2015</w:t>
      </w:r>
    </w:p>
    <w:p>
      <w:r>
        <w:t>IT: ZH_OBERGERICHT PS150022 del 19 marzo 2015</w:t>
      </w:r>
    </w:p>
    <w:p>
      <w:pPr>
        <w:pStyle w:val="Heading2"/>
      </w:pPr>
      <w:r>
        <w:t>Erwägungen</w:t>
      </w:r>
    </w:p>
    <w:p>
      <w:r>
        <w:rPr>
          <w:b/>
        </w:rPr>
        <w:t>E. 1</w:t>
      </w:r>
    </w:p>
    <w:p>
      <w:r>
        <w:t>Im Rahmen der Grundpfandbetreibungen Nr. … und Nr. … gegen die Schuldnerin, Pfandeigentümerin und Beschwerdeführerin verlangte das Betrei- bungsamt Rüti am 17. Oktober 2014 beim Amt für Landschaft und Natur des Kan- tons Zürich die Feststellung, dass es sich beim Grundstück Kat. Nr. … nicht um ein landwirtschaftliches Grundstück handle. Das genannte Amt entsprach am 21. Oktober 2014 diesem Ersuchen (act. 6/1). Darauf nahm das Betreibungsamt Rüti am 31. Oktober 2014 eine Grundbuchanmeldung vor. Das Grundbuchamt F._____ trug daraufhin die folgende Anmerkung neu ins Grundbuch ein: "Öffent- lichrechtliche Eigentumsbeschränkung / Förderung der Landwirtschaft: dem BGBB nicht unterstellt" (act. 2/1 und 6/3). Dagegen beschwerte sich die Be- schwerdeführerin bei der Vorinstanz.</w:t>
      </w:r>
    </w:p>
    <w:p>
      <w:r>
        <w:rPr>
          <w:b/>
        </w:rPr>
        <w:t>E. 2</w:t>
      </w:r>
    </w:p>
    <w:p>
      <w:r>
        <w:t>Die Kammer hatte in der vorliegenden Angelegenheit bereits eine Be- schwerde im Verfahren PS140273 zu behandeln, nämlich über ein durch die Vor- instanz abgewiesenes Gesuch um aufschiebende Wirkung (act. 15). Weil die auf den 9. Dezember 2014 angesetzte Versteigerung der Grundstücke durch das Bundesgericht abgesagt wurde, wurde jene Beschwerde gegenstandslos, was mit Beschluss vom 11. Dezember 2014 zur Abschreibung jenes Beschwerdeverfah- rens führte (act. 16).</w:t>
      </w:r>
    </w:p>
    <w:p>
      <w:r>
        <w:rPr>
          <w:b/>
        </w:rPr>
        <w:t>E. 3</w:t>
      </w:r>
    </w:p>
    <w:p>
      <w:r>
        <w:t>Die Vorinstanz hat inzwischen in der Sache – Anmerkung der Nichtunter- stellung unter das BGBB – entschieden. Mit Beschluss vom 20. Januar 2015 trat sie auf die Beschwerde der Beschwerdeführerin nicht ein (act. 20 S. 5). Sie be- gründete dies damit, dass die Grundbuchanmeldung durch das Betreibungsamt Rüti eine rechtsgeschäftliche Handlung darstelle. Weder die Verfügung des Am- tes für Landwirtschaft und Natur, noch die Eintragung der neuen Anmerkung im Grundbuch seien durch das Betreibungsamt erfolgt; es gebe beim ganzen Vor- gang keine Verfügung eines Zwangsvollstreckungsorganes, die ein Anfechtungs- objekt im Sinne von Art. 17 SchKG sein könnte. Die Vorinstanz begründete im</w:t>
      </w:r>
    </w:p>
    <w:p>
      <w:r>
        <w:t>- 3 - Weiteren, warum auch im Übrigen nicht auf die Beschwerde einzutreten gewesen wäre: Es habe auch früher keine Unterstellung unter das BGBB gegeben. Ausser der neuen Anmerkung habe es nämlich lediglich eine bestehende Anmerkung ge- geben, welche die Mitgliedschaft bei der Unterhaltsgenossenschaft G._____ be- troffen habe (act. 9/1). Die Behauptung der Beschwerdeführerin, dass die Liegen- schaft dem BGBB unterstünde, sei offenkundig falsch. Die neu erfolgte Anmer- kung ändere nichts an der (bisherigen) materiellen Rechtslage, sondern diene einzig der Klarstellung.</w:t>
      </w:r>
    </w:p>
    <w:p>
      <w:r>
        <w:rPr>
          <w:b/>
        </w:rPr>
        <w:t>E. 4</w:t>
      </w:r>
    </w:p>
    <w:p>
      <w:r>
        <w:t>Die Beschwerdeführerin rügt, dass ein von ihr angebotener Zeuge, der über ihr Nutzungsänderungsprojekt hätte Auskunft geben können, von der Vor- instanz nicht einvernommen worden sei (act. 21 S. 3). Dazu hatte die Vorinstanz keinen Anlass. Das Betreibungsamt hatte – wie erwähnt – die von der zuständi- gen Behörde zu treffende Feststellung betreffend Unterstellung/Nichtunterstellung unter das BGBB lediglich beschaffen müssen. Bezüglich der Feststellung als sol- cher und dem bezüglichen Verwaltungsverfahren hatte es keinerlei Kompetenzen.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