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PS140262 vom 4. Dezember 2014</w:t>
      </w:r>
    </w:p>
    <w:p>
      <w:r>
        <w:t>ZH Obergericht, 2014-12-04, DE</w:t>
      </w:r>
    </w:p>
    <w:p>
      <w:r>
        <w:rPr>
          <w:b/>
        </w:rPr>
        <w:t xml:space="preserve">Quelle: </w:t>
      </w:r>
      <w:r>
        <w:t>https://mcp.opencaselaw.ch/entscheid/zh_obergericht_PS140262</w:t>
      </w:r>
    </w:p>
    <w:p>
      <w:r>
        <w:t>FR: ZH_OBERGERICHT PS140262 du 4 décembre 2014</w:t>
      </w:r>
    </w:p>
    <w:p>
      <w:r>
        <w:t>IT: ZH_OBERGERICHT PS140262 del 4 dicembre 2014</w:t>
      </w:r>
    </w:p>
    <w:p>
      <w:pPr>
        <w:pStyle w:val="Heading2"/>
      </w:pPr>
      <w:r>
        <w:t>Erwägungen</w:t>
      </w:r>
    </w:p>
    <w:p>
      <w:r>
        <w:rPr>
          <w:b/>
        </w:rPr>
        <w:t>E. 1</w:t>
      </w:r>
    </w:p>
    <w:p>
      <w:r>
        <w:t>Mit Urteil vom 19. November 2014 eröffnete das Konkursgericht des Bezirksgerichts Zürich den Konkurs über den Schuldner (act. 3). Mit rechtzeitig (vgl. act. 8/13) eingereichter Beschwerde vom 28. November 2014 beantragte dieser die Aufhebung des Konkursdekrets (act. 2). Sodann reichte er zahlreiche Beilagen ein (act. 4/1-6, act. 5 und act. 11/1-2). Mit Verfügung vom 2. Dezember 2014 wurde der Beschwerde einstweilen die aufschiebende Wirkung zuerkannt (act. 12).</w:t>
      </w:r>
    </w:p>
    <w:p>
      <w:r>
        <w:rPr>
          <w:b/>
        </w:rPr>
        <w:t>E. 2</w:t>
      </w:r>
    </w:p>
    <w:p>
      <w:r>
        <w:t>Gemäss Art. 174 Abs. 2 SchKG kann die Konkurseröffnung im Be- schwerdeverfahren aufgehoben werden, wenn der Schuldner mit der Einlegung des Rechtsmittels seine Zahlungsfähigkeit glaubhaft macht und durch Urkunden einen der drei gesetzlich vorgesehenen Konkurshinderungsgründe (Tilgung, Hin- terlegung oder Gläubigerverzicht) nachweist. Die Beschwerde ist innert einer Frist von 10 Tagen einzureichen und abschliessend zu begründen. Das bedeutet, dass der Schuldner sowohl seine Zahlungsfähigkeit als auch einen der drei Konkurs- hinderungsgründe innert der Rechtsmittelfrist glaubhaft zu machen bzw. durch Urkunden nachzuweisen hat. Neue Behauptungen und Urkundenbeweise über konkurshindernde Tatsachen sind innert der Rechtsmittelfrist aber selbst dann zu- lässig, wenn sie nach dem erstinstanzlichen Entscheid ergangen sind. Nachfristen sind hingegen keine zu gewähren (BGE 136 III 294).</w:t>
      </w:r>
    </w:p>
    <w:p>
      <w:r>
        <w:rPr>
          <w:b/>
        </w:rPr>
        <w:t>E. 3</w:t>
      </w:r>
    </w:p>
    <w:p>
      <w:r>
        <w:t>Der Schuldner belegt, die der Konkurseröffnung zugrunde liegende Forderung (Betreibung Nr. … des Betreibungsamts Zürich 2) getilgt zu haben (vgl. act. 2 S. 1 und act. 4/4). Im Weiteren hat der Beschwerdeführer mit Zahlung vom 1. Dezember 2014 beim Konkursamt Enge-Zürich zur Deckung der Kosten des Konkursverfahrens Fr. 1'000.– (act. 11/2) sowie bei der Kasse des Obergerichts des Kantons Zürich Fr. 400.– für das vorinstanzliche Verfahren sichergestellt (act. 9) und für das Beschwerdeverfahren einen Kostenvorschuss von Fr. 750.– geleistet (act. 11/1).</w:t>
      </w:r>
    </w:p>
    <w:p>
      <w:r>
        <w:t>- 3 - Damit hat der Schuldner den Konkursaufhebungsgrund der Tilgung im Sinne von Art. 174 Abs. 2 Ziff. 1 SchKG innert der Rechtsmittelfrist durch Urkunden nachgewiesen.</w:t>
      </w:r>
    </w:p>
    <w:p>
      <w:r>
        <w:rPr>
          <w:b/>
        </w:rPr>
        <w:t>E. 4</w:t>
      </w:r>
    </w:p>
    <w:p>
      <w:r>
        <w:t>Überdies hat der Schuldner seine Zahlungsfähigkeit glaubhaft zu ma- chen. Zahlungsfähigkeit bedeutet, dass ausreichend liquide Mittel vorhanden sind, mit welchen die Gläubiger bei Fälligkeit ihrer Forderungen befriedigt werden kön- nen. Der Schuldner hat deshalb aufzuzeigen, dass er in der Lage ist, seinen lau- fenden Verpflichtungen nachzukommen und in absehbarer Zeit auch die beste- henden Schulden abzutragen. Bloss vorübergehende Zahlungsschwierigkeiten lassen ihn noch nicht als zahlungsunfähig erscheinen; anders verhält es sich, wenn keine wesentlichen Anhaltspunkte für eine Verbesserung seiner finanziellen Situation zu erkennen sind und er auf unabsehbare Zeit als illiquid erscheint. Ab- sehbare Veränderungen, die ihm die Tilgung seiner Schulden erlauben würden, sind grundsätzlich zu berücksichtigen; diese müssen jedoch so konkret dargelegt werden, dass wirklich glaubhaft ist, die gegenwärtigen Zahlungsschwierigkeiten seien bloss vorübergehender Natur. Der Umstand, dass offene Betreibungen mitt- lerweile beglichen wurden, darf als ein Indiz für eine bloss temporäre Illiquidität berücksichtigt werden. 5.a) Wesentlichen Aufschluss über das Zahlungsverhalten und die finanziel- le Lage eines Schuldners gibt insbesondere das Betreibungsregister. Gemäss der vorgelegten Auskunft aus dem Register des Betreibungsamts Zürich 2 (act. 4/2) wurden vom 24. Januar 2013 bis 24. September 2014 insgesamt 15 Betreibungen eingeleitet, wovon 5 – darunter auch die dem Konkursbegehren zugrunde liegen- de Betreibung Nr. … – durch Zahlung erledigt sind. Die Anzahl Betreibungen lässt auf nicht unerhebliche Zahlungsschwierigkeiten schliessen. Der Schuldner belegt, die restlichen in Betreibung gesetzten Forderungen (gemäss Betreibungsregister- auszug im Umfang von Fr. 157'315.20) mit Fr. 144'000.– aus einer Überweisung der C._____ AG an das Betreibungsamt Zürich 2 und mit Fr. 28'591.95 aus einer Lohnpfändung beglichen zu haben (vgl. act. 2, act. 4/1 und act. 4/3). Damit beste- hen keine offenen Betreibungen mehr.</w:t>
      </w:r>
    </w:p>
    <w:p>
      <w:r>
        <w:t>- 4 - b) Der Schuldner ist Inhaber des Einzelunternehmens A._____, das Bera- tung im Bereich der Unternehmensführung und im Bereich des Baumanagements sowie Handel aller Art bezweckt und seit dem 10. Juni 2014 im Handelsregister des Kantons Zürich eingetragen ist (act. 6). Der Schuldner führt aus, aufgrund misslicher Umstände sei es zur vorlie- genden Situation gekommen. Die von der C._____ AG an das Betreibungsamt Zürich 2 erfolgte Überweisung habe ihm ermöglicht, seine bestehenden Schulden zu tilgen. Dank der weiteren Überweisung der C._____ AG im Umfang von Fr. 210'188.10 auf sein Konto bei der Raiffeisenbank … verfüge er nun über ge- nügend liquide Mittel, um seine Geschäftstätigkeit schuldenfrei und auf einer soli- den Basis zu führen (act. 2). Die entsprechende Gutschrift auf dem Konto des Schuldners ist ausgewiesen (vgl. act. 4/1 und act. 4/6). c) Vor dem Hintergrund, dass alle offenen und in Betreibung gesetzten Schulden inzwischen beglichen wurden, er über flüssige Mittel von über Fr. 200'000.– verfügt, um sein erst kürzlich im Handelsregister eingetragenes Un- ternehmen zu führen und nachhaltig aufzubauen, scheint die Möglichkeit des Schuldners, in Zukunft seinen laufenden Verpflichtungen regelmässig nachzu- kommen, als gegeben. Die Zahlungsfähigkeit des Schuldners erweist sich somit als hinreichend glaubhaft im Sinne von Art. 174 Abs. 2 SchKG. Denn glaubhaft gemacht ist eine Tatsache bereits dann, wenn für deren Vorhandensein gewisse Elemente sprechen, selbst wenn das Gericht noch mit der Möglichkeit rechnet, dass sie sich nicht verwirklicht haben könnte. Im Hinblick auf die Aufhebung der Konkurseröffnung bedeutet dies, dass die Zahlungsfähigkeit des Konkursiten wahrscheinlicher sein muss als seine Zahlungsunfähigkeit. Insbesondere wenn die wirtschaftliche Lebensfähigkeit des schuldnerischen Unternehmens nicht von vornherein ausgeschlossen werden kann, dürfen keine allzu strengen Anforde- rungen an die Glaubhaftmachung gestellt werden (Urteil 5A_335/2014 vom 23. Juni 2014 E. 3.1 m.w.H.). Dies führt zur Gutheissung der Beschwerde und zur Aufhebung des Konkur- ses über den Schuldner.</w:t>
      </w:r>
    </w:p>
    <w:p>
      <w:r>
        <w:t>- 5 -</w:t>
      </w:r>
    </w:p>
    <w:p>
      <w:r>
        <w:rPr>
          <w:b/>
        </w:rPr>
        <w:t>E. 6</w:t>
      </w:r>
    </w:p>
    <w:p>
      <w:r>
        <w:t>Obschon die Beschwerde gutgeheissen wird, sind die Gerichtsgebüh- ren beider Instanzen dem Schuldner aufzuerlegen, weil er das Verfahren durch sein Zahlungssäumnis verursacht hat.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