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PS140247 vom 17. Oktober 2014</w:t>
      </w:r>
    </w:p>
    <w:p>
      <w:r>
        <w:t>ZH Obergericht, 2014-10-17, DE</w:t>
      </w:r>
    </w:p>
    <w:p>
      <w:r>
        <w:rPr>
          <w:b/>
        </w:rPr>
        <w:t xml:space="preserve">Quelle: </w:t>
      </w:r>
      <w:r>
        <w:t>https://mcp.opencaselaw.ch/entscheid/zh_obergericht_PS140247</w:t>
      </w:r>
    </w:p>
    <w:p>
      <w:r>
        <w:t>FR: ZH_OBERGERICHT PS140247 du 17 octobre 2014</w:t>
      </w:r>
    </w:p>
    <w:p>
      <w:r>
        <w:t>IT: ZH_OBERGERICHT PS140247 del 17 ottobre 2014</w:t>
      </w:r>
    </w:p>
    <w:p>
      <w:pPr>
        <w:pStyle w:val="Heading2"/>
      </w:pPr>
      <w:r>
        <w:t>Erwägungen</w:t>
      </w:r>
    </w:p>
    <w:p>
      <w:r>
        <w:rPr>
          <w:b/>
        </w:rPr>
        <w:t>E. 1</w:t>
      </w:r>
    </w:p>
    <w:p>
      <w:r>
        <w:t>Das Einzelgericht in Konkurssachen des Bezirksgerichts Winterthur eröffne- te mit Urteil vom 25. September 2014 über den Beschwerdeführer den Konkurs (act. 5/5 = act. 3). Dagegen erhob dieser mit Eingabe vom 8. Oktober 2014 (Da- tum Poststempel) fristgerecht Beschwerde (act. 2, act. 5/6). Er führt aus, dass er im Moment keine feste Arbeit habe, auch keine Sozialhilfe beziehe und daher kein Geld habe. Konkrete Anträge liegen keine vor; der Beschwerdeführer bittet aber wegen seiner gegenwärtigen Situation um genügend Zeit. Auf die Erhebung eines Kostenvorschusses wurde umständehalber verzich- tet. Die Sache ist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selbst dann zu- lässig, wenn sie nach dem erstinstanzlichen Entscheid ergangen sind. Nachfristen sind hingegen keine zu gewähren (BGE 136 III 294).</w:t>
      </w:r>
    </w:p>
    <w:p>
      <w:r>
        <w:rPr>
          <w:b/>
        </w:rPr>
        <w:t>E. 3</w:t>
      </w:r>
    </w:p>
    <w:p>
      <w:r>
        <w:t>Der Beschwerdeführer wurde am 9. Oktober 2014 telefonisch darauf hinge- wiesen, dass er bis zum Ablauf der Beschwerdefrist den Nachweis eines gesetz- lich vorgesehenen Konkurshinderungsgrundes erbringen müsse und zur Glaub- haftmachung seiner Zahlungsfähigkeit geeignete Unterlagen einzureichen habe. In Wiederholung seiner Beschwerdeeingabe teilte er mit, dass er nichts bezahlen könne, solange er keine Arbeit habe (act. 6).</w:t>
      </w:r>
    </w:p>
    <w:p>
      <w:r>
        <w:t>- 3 - Damit erweist sich die Beschwerde als unbegründet. Der Beschwerdeführer hat weder einen Nachweis über die Tilgung oder Hinterlegung der Konkursforde- rung samt Kosten noch einen Nachweis, dass die Beschwerdegegnerin auf die Durchführung des Konkurses verzichtet, eingereicht. Das Vorliegen eines Kon- kurshinderungsgrundes wurde nicht einmal behauptet.</w:t>
      </w:r>
    </w:p>
    <w:p>
      <w:r>
        <w:rPr>
          <w:b/>
        </w:rPr>
        <w:t>E. 4</w:t>
      </w:r>
    </w:p>
    <w:p>
      <w:r>
        <w:t>Ausgangsgemäss wird der Beschwerdeführer für das Beschwerdeverfahren kostenpflichtig (Art. 106 Abs. 1 ZPO). Die zweitinstanzliche Gerichtsgebühr ist auf Fr. 500.– festzulegen. Eine Parteientschädigung ist der Beschwerdegegnerin mangels ihr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