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PS140230 vom 19. September 2014</w:t>
      </w:r>
    </w:p>
    <w:p>
      <w:r>
        <w:t>ZH Obergericht, 2014-09-19, DE</w:t>
      </w:r>
    </w:p>
    <w:p>
      <w:r>
        <w:rPr>
          <w:b/>
        </w:rPr>
        <w:t xml:space="preserve">Quelle: </w:t>
      </w:r>
      <w:r>
        <w:t>https://mcp.opencaselaw.ch/entscheid/zh_obergericht_PS140230</w:t>
      </w:r>
    </w:p>
    <w:p>
      <w:r>
        <w:t>FR: ZH_OBERGERICHT PS140230 du 19 septembre 2014</w:t>
      </w:r>
    </w:p>
    <w:p>
      <w:r>
        <w:t>IT: ZH_OBERGERICHT PS140230 del 19 settembre 2014</w:t>
      </w:r>
    </w:p>
    <w:p>
      <w:pPr>
        <w:pStyle w:val="Heading2"/>
      </w:pPr>
      <w:r>
        <w:t>Erwägungen</w:t>
      </w:r>
    </w:p>
    <w:p>
      <w:r>
        <w:rPr>
          <w:b/>
        </w:rPr>
        <w:t>E. 1</w:t>
      </w:r>
    </w:p>
    <w:p>
      <w:r>
        <w:t>Sachverhalt und Prozessgeschichte</w:t>
      </w:r>
    </w:p>
    <w:p>
      <w:r>
        <w:rPr>
          <w:b/>
        </w:rPr>
        <w:t>E. 1.1</w:t>
      </w:r>
    </w:p>
    <w:p>
      <w:r>
        <w:t>Die Schuldnerin und Beschwerdeführerin (fortan Schuldnerin) ist seit dem tt. Juni 2004 mit ihrem Einzelunternehmen "C._____" im Handelsregister des Kan- tons Zürich eingetragen (act. 8).</w:t>
      </w:r>
    </w:p>
    <w:p>
      <w:r>
        <w:rPr>
          <w:b/>
        </w:rPr>
        <w:t>E. 1.2</w:t>
      </w:r>
    </w:p>
    <w:p>
      <w:r>
        <w:t>Mit Urteil vom 3. September 2014, 9:45 Uhr (act. 3 = 6 = 7/14), eröffnete das Konkursgericht des Bezirksgerichtes Horgen den Konkurs über die Schuldnerin für folgende Forderungen: Forderung aus Betreibung Nr. … : Fr. 1'235.50 nebst Zins zu 5 % seit 2. Februar 2014 Fr. - 50.00 Zahlung; Gutschrift Fr. 146.60 Betreibungskosten Forderung aus Betreibung Nr. … : Fr. 1'309.10 nebst Zins zu 5 % seit 2. Januar 2014 Fr. - 50.00 Zahlung; Gutschrift Fr. 146.60 Betreibungskosten. Gegen diesen Entscheid erhob die Schuldnerin mit Eingabe vom 12. September 2014 rechtzeitig Beschwerde (act. 2, vgl. act. 7/15/2). Sie verlangt die Aufhebung der Konkurseröffnung. Ferner ersuchte sie darum, es sei ihrer Beschwerde auf- schiebende Wirkung zu erteilen (act. 2).</w:t>
      </w:r>
    </w:p>
    <w:p>
      <w:r>
        <w:rPr>
          <w:b/>
        </w:rPr>
        <w:t>E. 1.3</w:t>
      </w:r>
    </w:p>
    <w:p>
      <w:r>
        <w:t>Mit Verfügung vom 15. September 2014 wurde der Beschwerde einstweilen die aufschiebende Wirkung zuerkannt (act. 10). Auf eine Fristansetzung zur Leis- tung des Kostenvorschusses von Fr. 750.– für das Beschwerdeverfahren konnte verzichtet werden, da die Schuldnerin diesen bereits bei der Obergerichtskasse einbezahlt hatte (act. 4/5 und 9). Die vorinstanzlichen Akten wurden beigezogen (act. 7/1-16). Das Verfahren ist spruchreif.</w:t>
      </w:r>
    </w:p>
    <w:p>
      <w:r>
        <w:t>- 3 -</w:t>
      </w:r>
    </w:p>
    <w:p>
      <w:r>
        <w:rPr>
          <w:b/>
        </w:rPr>
        <w:t>E. 2</w:t>
      </w:r>
    </w:p>
    <w:p>
      <w:r>
        <w:t>Materielles</w:t>
      </w:r>
    </w:p>
    <w:p>
      <w:r>
        <w:rPr>
          <w:b/>
        </w:rPr>
        <w:t>E. 2.1</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w:t>
      </w:r>
    </w:p>
    <w:p>
      <w:r>
        <w:rPr>
          <w:b/>
        </w:rPr>
        <w:t>E. 2.2</w:t>
      </w:r>
    </w:p>
    <w:p>
      <w:r>
        <w:t>Die Schuldnerin hat am 12. September 2014 – und damit nach Konkurser- öffnung – für die Konkursforderungen samt Kosten und Zinsen beim Obergericht Fr. 2'817.80 (Fr. 1'368.30 + Fr. 1'449.50) zuhanden der Gläubigerin hinterlegt (act. 2, 4/2, 4/3 und 9). Weiter belegt sie, den Betrag von Fr. 1'800.– beim Kon- kursamt Wädenswil zur Deckung der erstinstanzlichen Spruchgebühr und der bis anhin entstandenen und noch entstehenden Kosten des Konkursamtes hinterlegt zu haben (act. 4/4). Damit hat die Schuldnerin den Konkursaufhebungsgrund der Hinterlegung im Sinne von Art. 174 Abs. 2 Ziff. 2 SchKG nachgewiesen.</w:t>
      </w:r>
    </w:p>
    <w:p>
      <w:r>
        <w:rPr>
          <w:b/>
        </w:rPr>
        <w:t>E. 2.3</w:t>
      </w:r>
    </w:p>
    <w:p>
      <w:r>
        <w:t>Um die Aufhebung der Konkurseröffnung zu erreichen, hat die Schuldnerin ihre Zahlungsfähigkeit glaubhaft zu machen. Glaubhaftmachung der Zahlungsfä- higkeit setzt voraus, dass die Zahlungsfähigkeit wahrscheinlicher erscheint als die Zahlungsunfähigkeit (BSK SchKG II-GIROUD, 2. Aufl., Art. 174 N 26). Zahlungsfä- higkeit bedeutet, dass ausreichende liquide Mittel vorhanden sind, mit denen die Gläubiger bei Fälligkeit ihrer Forderungen befriedigt werden können. Die Schuld- nerin hat deshalb aufzuzeigen, dass sie in der Lage ist, ihren laufenden Verbind- lichkeiten nachzukommen sowie die bestehenden Schulden abzutragen. Bloss vorübergehende Zahlungsschwierigkeiten lassen die Schuldnerin noch nicht als zahlungsunfähig erscheinen. Anders verhält es sich jedoch, wenn keine Anhalts- punkte für eine Verbesserung ihrer finanziellen Lage zu erkennen sind und die Schuldnerin deshalb auf unabsehbare Zeit hinaus als illiquid erscheint.</w:t>
      </w:r>
    </w:p>
    <w:p>
      <w:r>
        <w:t>- 4 -</w:t>
      </w:r>
    </w:p>
    <w:p>
      <w:r>
        <w:rPr>
          <w:b/>
        </w:rPr>
        <w:t>E. 2.3.1</w:t>
      </w:r>
    </w:p>
    <w:p>
      <w:r>
        <w:t>Wesentlichen Aufschluss über das Zahlungsverhalten und die finanzielle Lage einer Person vermittelt insbesondere das Betreibungsregister. Der einge- reichte Auszug der Schuldnerin umfasst den Zeitraum vom 15. Juli 2013 (Datum Zuzug) bis zum 3. September 2014 (Datum Ausstellung). In dieser Periode wurde die Schuldnerin insgesamt 34 Mal betrieben (act. 4/6). Eine Betreibung wurde durch Zahlung an das Betreibungsamt erledigt (Nr. …, Fr. 722.50), in einer weite- ren Betreibung hat die Schuldnerin Rechtsvorschlag erhoben (Nr. …, Fr. 10'907.90). Die Schuldnerin führt hierzu aus, dass diese Forderung unbegrün- det sei, da die vom Gläubiger ausgeführten Arbeiten mangelhaft und teilweise un- vollständig seien (act. 2 S. 2). Offen und unbestritten sind – ohne Berücksichti- gung der nun hinterlegten Konkursforderungen – Schulden im Gesamtbetrag von rund Fr. 170'000.– (act. 2 S. 4 und act. 4/6).</w:t>
      </w:r>
    </w:p>
    <w:p>
      <w:r>
        <w:rPr>
          <w:b/>
        </w:rPr>
        <w:t>E. 2.3.2</w:t>
      </w:r>
    </w:p>
    <w:p>
      <w:r>
        <w:t>Die Schuldnerin bringt vor, sie sei Eigentümerin der Liegenschaften D._____ … und … in … E._____ sowie F._____ -Weg … und … in … G._____. Drei davon würden aktuell zum Verkauf stehen. Die Inserierung sei bereits erfolgt. Ausgehend von den Verkaufspreisen gemäss Bewertung durch die H._____ Im- mobilien GmbH abzüglich der die Grundstücke belastenden Hypothekardarlehen sowie der zu leistenden Grundstückgewinnsteuern resultiere ein Nettoerlös von insgesamt rund Fr. 350'000.– (Fr. 210'488.– aus den Liegenschaften D._____ … und …, Fr. 142'645.– aus der Liegenschaft F._____ -Weg …). Sie und das mit dem Verkauf beauftragte Unternehmen seien zuversichtlich, dass der Verkauf in absehbarer Zeit, d.h. innert drei bis sechs Monaten, zu den angegebenen Preisen erfolgen könne. Mit dem Erlös könne sie die offenen Forderungen umgehend be- gleichen (act. 2 S. 2 ff.). Die Schuldnerin hat Unterlagen vorgelegt, die objektive Anhaltspunkte für ihre Ausführungen liefern (act. 4/7-4/15). Folglich ist glaubhaft, dass die Schuldnerin neben der Begleichung der laufenden Verpflichtungen im Zeithorizont von rund einem halben Jahr ihre bestehenden Schulden abtragen kann. Dies führt zur Gut- heissung der Beschwerde und zur Aufhebung des Konkurses.</w:t>
      </w:r>
    </w:p>
    <w:p>
      <w:r>
        <w:t>- 5 -</w:t>
      </w:r>
    </w:p>
    <w:p>
      <w:r>
        <w:rPr>
          <w:b/>
        </w:rPr>
        <w:t>E. 3</w:t>
      </w:r>
    </w:p>
    <w:p>
      <w:r>
        <w:t>Kosten Die Kosten beider Instanzen hat die Schuldnerin zu tragen, da sie durch die ver- spätete Zahlung das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