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PS140205 vom 5. September 2014</w:t>
      </w:r>
    </w:p>
    <w:p>
      <w:r>
        <w:t>ZH Obergericht, 2014-09-05, DE</w:t>
      </w:r>
    </w:p>
    <w:p>
      <w:r>
        <w:rPr>
          <w:b/>
        </w:rPr>
        <w:t xml:space="preserve">Quelle: </w:t>
      </w:r>
      <w:r>
        <w:t>https://mcp.opencaselaw.ch/entscheid/zh_obergericht_PS140205</w:t>
      </w:r>
    </w:p>
    <w:p>
      <w:r>
        <w:t>FR: ZH_OBERGERICHT PS140205 du 5 septembre 2014</w:t>
      </w:r>
    </w:p>
    <w:p>
      <w:r>
        <w:t>IT: ZH_OBERGERICHT PS140205 del 5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Konkursgericht des Bezirksgerichts Uster eröffnete mit Urteil vom</w:t>
      </w:r>
    </w:p>
    <w:p>
      <w:r>
        <w:rPr>
          <w:b/>
        </w:rPr>
        <w:t>E. 5</w:t>
      </w:r>
    </w:p>
    <w:p>
      <w:r>
        <w:t>Der Beschwerdeführer hat keinen Nachweis zur Glaubhaftmachung seiner Zahlungsfähigkeit erbracht; er hat sich dazu nicht geäussert und keine sachdienlichen Unterlagen eingereicht. Vor diesem Hintergrund kann die finanzi- elle Lage des Beschwerdeführers nicht beurteilt werden. Der Beschwerdeführer vermag somit nicht glaubhaft darzulegen, dass er zahlungsfähig im Sinne von Art. 174 Abs. 2 SchKG ist. Dies führt zur Abweisung der Beschwerde.</w:t>
      </w:r>
    </w:p>
    <w:p>
      <w:r>
        <w:rPr>
          <w:b/>
        </w:rPr>
        <w:t>E. 6</w:t>
      </w:r>
    </w:p>
    <w:p>
      <w:r>
        <w:t>Die Kosten des Beschwerdeverfahrens sind ausgangsgemäss dem Beschwerdeführer aufzuerlegen und aus dem geleisteten Vorschuss zu beziehen. Parteientschädigungen sind mangels entstandener Umtriebe nicht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