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PS140049 vom 17. März 2014</w:t>
      </w:r>
    </w:p>
    <w:p>
      <w:r>
        <w:t>ZH Obergericht, 2014-03-17, DE</w:t>
      </w:r>
    </w:p>
    <w:p>
      <w:r>
        <w:rPr>
          <w:b/>
        </w:rPr>
        <w:t xml:space="preserve">Quelle: </w:t>
      </w:r>
      <w:r>
        <w:t>https://mcp.opencaselaw.ch/entscheid/zh_obergericht_PS140049</w:t>
      </w:r>
    </w:p>
    <w:p>
      <w:r>
        <w:t>FR: ZH_OBERGERICHT PS140049 du 17 mars 2014</w:t>
      </w:r>
    </w:p>
    <w:p>
      <w:r>
        <w:t>IT: ZH_OBERGERICHT PS140049 del 17 marzo 2014</w:t>
      </w:r>
    </w:p>
    <w:p>
      <w:pPr>
        <w:pStyle w:val="Heading2"/>
      </w:pPr>
      <w:r>
        <w:t>Erwägungen</w:t>
      </w:r>
    </w:p>
    <w:p>
      <w:r>
        <w:rPr>
          <w:b/>
        </w:rPr>
        <w:t>E. 1</w:t>
      </w:r>
    </w:p>
    <w:p>
      <w:r>
        <w:t>Am 21. Februar 2014 wurde über die Beschwerdeführerin (fortan Schuldne- rin) der Konkurs eröffnet (act. 3 = act. 6). Mit rechtzeitig eingereichter Beschwerde vom 2. März 2014 beantragte die Schuldnerin sinngemäss die Aufhebung der Konkurseröffnung (act. 2 S. 2).</w:t>
      </w:r>
    </w:p>
    <w:p>
      <w:r>
        <w:rPr>
          <w:b/>
        </w:rPr>
        <w:t>E. 2</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die Schuldnerin sowohl ihre Zahlungsfähigkeit als auch einen der drei Konkurshinde- rungsgründe innert der Rechtsmittelfrist glaubhaft zu machen bzw. mit Urkunden nachzuweisen hat. Neue Behauptungen und Urkundenbeweise über konkurshin- dernde Tatsachen kann sie innert der Rechtsmittelfrist aber selbst dann erheben, wenn sie nach dem erstinstanzlichen Entscheid ergangen sind. Nachfristen sind hingegen keine zu gewähren (vgl. dazu BGE 136 III 294). Die Schuldnerin bringt nicht vor, sie habe die Konkursforderung von über Fr. 80'000.– (zuzüglich Zinsen) beglichen, hinterlegt bzw. es liege ein Gläubiger- verzicht vor. Daran ändert auch die von der Schuldnerin unsubstantiiert vorge- brachte und bezüglich ihrer behaupteten Gegenforderung unklare und nicht be- legte Verrechnungseinrede nichts (act. 2 S. 11 f.). Auch die Kosten des Konkurs- gerichtes und des Konkursamtes hat sie nicht sichergestellt. Ebenso wenig hat die Schuldnerin (abgesehen von einer etwas wirren Bilanz ohne Erfolgsrechnung und einem – offenbar selber bearbeiteten – Kontoauszug, mit einem Saldo von minus Fr. 32.60, vgl. act. 4/2+3) entsprechende Belege bzw. Unterlagen betref- fend ihre finanzielle Situation eingereicht. Damit hat die Schuldnerin weder das Vorliegen eines Konkurshinderungsgrundes dargetan noch mit Blick in die Zukunft</w:t>
      </w:r>
    </w:p>
    <w:p>
      <w:r>
        <w:t>- 3 - ihre Zahlungsfähigkeit glaubhaft gemacht. Die Beschwerde ist damit unbegründet, weshalb sie abzuweisen ist.</w:t>
      </w:r>
    </w:p>
    <w:p>
      <w:r>
        <w:rPr>
          <w:b/>
        </w:rPr>
        <w:t>E. 3</w:t>
      </w:r>
    </w:p>
    <w:p>
      <w:r>
        <w:t>Die Kosten des Beschwerdeverfahrens sind in Anwendung von Art. 106 Abs. 1 ZPO ausgangsgemäss der Schuldnerin aufzuerlegen. Eine Parteientschädigung an die Gläubigerin entfällt mangels Beteiligung am Beschwerdeverfahren (Art. 95 Abs. 3 i.V.m. Art. 105 Abs. 2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