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PS140010 vom 29. Januar 2014</w:t>
      </w:r>
    </w:p>
    <w:p>
      <w:r>
        <w:t>ZH Obergericht, 2014-01-29, DE</w:t>
      </w:r>
    </w:p>
    <w:p>
      <w:r>
        <w:rPr>
          <w:b/>
        </w:rPr>
        <w:t xml:space="preserve">Quelle: </w:t>
      </w:r>
      <w:r>
        <w:t>https://mcp.opencaselaw.ch/entscheid/zh_obergericht_PS140010</w:t>
      </w:r>
    </w:p>
    <w:p>
      <w:r>
        <w:t>FR: ZH_OBERGERICHT PS140010 du 29 janvier 2014</w:t>
      </w:r>
    </w:p>
    <w:p>
      <w:r>
        <w:t>IT: ZH_OBERGERICHT PS140010 del 29 gennaio 2014</w:t>
      </w:r>
    </w:p>
    <w:p>
      <w:pPr>
        <w:pStyle w:val="Heading2"/>
      </w:pPr>
      <w:r>
        <w:t>Erwägungen</w:t>
      </w:r>
    </w:p>
    <w:p>
      <w:r>
        <w:rPr>
          <w:b/>
        </w:rPr>
        <w:t>E. 1</w:t>
      </w:r>
    </w:p>
    <w:p>
      <w:r>
        <w:t>Am 12. Dezember 2013 erliess das Einzelgericht des Bezirksgerichts Bülach sechs Verfügungen (act. 3 der Geschäfts-Nrn. EB130606; EB130607; EB130608; EB130609; EB130610; EB130611). Darin setzte es dem Beschwerdeführer jeweils eine Frist von 7 Tagen an, um einen Kostenvorschuss für die mutmasslichen Gerichtskosten zu leisten. Die Kostenvorschüsse liegen zwischen Fr. 130.– bis Fr. 180.–, je nach Höhe des Streitwerts (act. 3 der obgenannten Geschäftsnummern). Mit Eingabe vom 19. Januar 2014 (Datum Poststempel) erhob der Beschwerdeführer gegen sämtliche Verfügungen Beschwerde. Er macht geltend, er könne die Kostenvorschüsse von insgesamt Fr. 940.– nicht bezahlen und ersucht um deren Neufestsetzung (act.2). Da sich die Beschwerde gegen jede Verfügung vom 12. Dezember 2013 einzeln zu richten hat, wurden sechs verschiedene Verfahren angelegt (Geschäfts-Nrn. PS140010; PS140011; PS140012; PS140013; PS140014; PS140015).</w:t>
      </w:r>
    </w:p>
    <w:p>
      <w:r>
        <w:rPr>
          <w:b/>
        </w:rPr>
        <w:t>E. 2</w:t>
      </w:r>
    </w:p>
    <w:p>
      <w:r>
        <w:t>Vorab ist festzuhalten, dass das Einzelgericht den Beschwerdeführer auf die Möglichkeit hingewiesen hat, ein Gesuch um Bewilligung der unentgeltlichen Rechtspflege stellen zu können. Ein solches hat er beim Einzelgericht nicht gestellt, weshalb sich Weiterungen unter diesem Gerichtspunkt im Beschwerdeverfahren erübrigen.</w:t>
      </w:r>
    </w:p>
    <w:p>
      <w:r>
        <w:rPr>
          <w:b/>
        </w:rPr>
        <w:t>E. 3</w:t>
      </w:r>
    </w:p>
    <w:p>
      <w:r>
        <w:t>Der Beschwerdeführer erhob am 4. November 2013 Rechtsvorschlag wegen fehlenden neuen Vermögens gegen den Zahlungsbefehl in der Betreibung-Nr. … des Betreibungsamts B._____. Der betriebene Forderungsbetrag beläuft sich auf Fr. 936.80 (act. 5/2). Das Einzelgericht ging daher richtigerweise von einem Streitwert von rund Fr. 1'000.– aus (act. 3). Den Kostenvorschuss setzte es in Anwendung von Art. 48 GebV SchKG auf Fr. 150.– fest. Dieser Betrag ist nicht zu beanstanden, da er verglichen mit den Tarifen in Art. 48 GebV SchKG und in Anbetracht der Höhe Streitwerts angemessen erscheint.</w:t>
      </w:r>
    </w:p>
    <w:p>
      <w:r>
        <w:t>- 3 - Der Beschwerdeführer moniert, bei allen sechs Betreibungen handle es sich um denselben Gläubiger. Zudem sei der in Betreibung gesetzte Betrag von (insgesamt) Fr. 8'688.90 etwa gleich hoch wie derjenige in seiner letzten Gerichtsverhandlung vom 22. August 2012 (Verweis auf act. 4/2 S. 3; Geschäfts- Nr. EB120150). Dem Beschwerdeführer ist zwar beizupflichten, dass die Streitwertsumme der sechs Verfahren zusammen ca. gleich hoch ist wie diejenige im Verfahren mit der Geschäfts-Nr. EB120150 in der Höhe von Fr. 8'700.– (vgl. act. 4/2 S. 3). Der Unterschied liegt jedoch darin, dass insgesamt höhere Gerichtskosten anfallen, wenn – wie hier – mehrere Verfahren angelegt werden müssen. Denn das Einzelgericht legte richtigerweise sechs verschiedene Verfahren an, da – selbst wenn es sich immer um denselben Gläubiger handelt – für jedes Betreibungsbegehren separat zu prüfen ist, ob der Rechtsvorschlag wegen fehlenden neuen Vermögens zulässig ist oder nicht. Folglich fallen die Gerichtskosten aufgrund der tieferen Streitwerte je Verfahren für sich gesehen tiefer aus, aber in der Summe ergeben sich höhere Gerichtskosten, was nicht zu beanstanden ist. Die Beschwerde erweist sich somit als unbegründet und ist abzuweisen.</w:t>
      </w:r>
    </w:p>
    <w:p>
      <w:r>
        <w:rPr>
          <w:b/>
        </w:rPr>
        <w:t>E. 4</w:t>
      </w:r>
    </w:p>
    <w:p>
      <w:r>
        <w:t>Umständehalber ist auf die Erhebung von Gerichtskosten für das Beschwerdeverfahren zu verzichten. Die Frage, ob der Beschwerdeführer für das Beschwerdeverfahren um Bewilligung unentgeltlicher Rechtspflege ersuchen wollte, was unklar ist, wird damit gegenstandslos. Mangels entstandener Aufwendungen ist dem Beschwerdegegner keine Parteientschädigung zuzusprechen.</w:t>
      </w:r>
    </w:p>
    <w:p>
      <w:r>
        <w:rPr>
          <w:b/>
        </w:rPr>
        <w:t>E. 5</w:t>
      </w:r>
    </w:p>
    <w:p>
      <w:r>
        <w:t>Schriftliche Mitteilung an die Parteien, an den Beschwerdegegner unter Beilage eines Doppels von act. 2, sowie – unter Rücksendung der vorinstanzlichen Akten – an das Bezirksgericht Bülach, je gegen Empfangsschein.</w:t>
      </w:r>
    </w:p>
    <w:p>
      <w:r>
        <w:t>- 5 -</w:t>
      </w:r>
    </w:p>
    <w:p>
      <w:r>
        <w:rPr>
          <w:b/>
        </w:rPr>
        <w:t>E. 6</w:t>
      </w:r>
    </w:p>
    <w:p>
      <w:r>
        <w:t>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in der Hauptsache beträgt Fr. 936.–. Die Beschwerde an das Bundesgericht hat keine aufschiebende Wirkung. Obergericht des Kantons Zürich II. Zivilkammer Die Gerichtsschreiberin: lic. iur. M. Weibel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