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PS130187 vom 25. Oktober 2013</w:t>
      </w:r>
    </w:p>
    <w:p>
      <w:r>
        <w:t>ZH Obergericht, 2013-10-25, DE</w:t>
      </w:r>
    </w:p>
    <w:p>
      <w:r>
        <w:rPr>
          <w:b/>
        </w:rPr>
        <w:t xml:space="preserve">Quelle: </w:t>
      </w:r>
      <w:r>
        <w:t>https://mcp.opencaselaw.ch/entscheid/zh_obergericht_PS130187</w:t>
      </w:r>
    </w:p>
    <w:p>
      <w:r>
        <w:t>FR: ZH_OBERGERICHT PS130187 du 25 octobre 2013</w:t>
      </w:r>
    </w:p>
    <w:p>
      <w:r>
        <w:t>IT: ZH_OBERGERICHT PS130187 del 25 ottobre 2013</w:t>
      </w:r>
    </w:p>
    <w:p>
      <w:pPr>
        <w:pStyle w:val="Heading2"/>
      </w:pPr>
      <w:r>
        <w:t>Erwägungen</w:t>
      </w:r>
    </w:p>
    <w:p>
      <w:r>
        <w:rPr>
          <w:b/>
        </w:rPr>
        <w:t>E. 1</w:t>
      </w:r>
    </w:p>
    <w:p>
      <w:r>
        <w:t>Am 11. Oktober 2013 wurde über die Schuldnerin der Konkurs eröffnet (act. 3). Mit rechtzeitig eingereichter Beschwerde beantragte sie die Aufhe- bung des Konkurses (act. 2). Mit Verfügung vom 21. Oktober 2013 wurde der Beschwerde einstweilen die aufschiebende Wirkung nicht zuerkannt (act. 7).</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Hinterlegung oder Gläubigerverzicht) nachweist. Neue Behauptungen und Urkundenbeweise über konkurshindernde Tatsachen sind im Beschwerde- verfahren unbeschränkt zugelassen, unabhängig davon, ob sie vor oder nach dem erstinstanzlichen Entscheid ergangen sind.</w:t>
      </w:r>
    </w:p>
    <w:p>
      <w:r>
        <w:rPr>
          <w:b/>
        </w:rPr>
        <w:t>E. 3</w:t>
      </w:r>
    </w:p>
    <w:p>
      <w:r>
        <w:t>a) Das Konkurseröffnungsbegehren vom 30. Juli 2013 ging am 6. August 2013 bei der Vorinstanz ein (act. 5/1). Am 30. Juli 2013 zahlte die Schuldne- rin die Restschuld der der Konkurseröffnung zugrunde liegenden Betrei- bungsforderung (Betreibungs Nr. …, act. 6) beim Betreibungsamt C._____ ein (act. 4/1). Ferner hat die Schuldnerin entsprechend dem Hinweis im An- hang zur Vorladungsverfügung (act. 5/3) die durch das Konkurseröffnungs- begehren entstandenen Gerichtskosten im Betrag von Fr. 200.– vor der Konkurseröffnung auf der Bezirksgerichtskasse einbezahlt (vgl. act. 6 S. 2). Da das Einzelgericht in Konkurssachen keine Kenntnis von der Tilgung der Konkursforderung hatte, wurde der Konkurs zu Recht eröffnet. Es lag näm- lich an der Schuldnerin – und nicht etwa am Betreibungsamt (vgl. act. 7, Mit- teilung des Betreibungsamtes vom 14. Oktober 2013 betreffend Erledigung der Betreibung) – dem Einzelgericht in Konkurssachen mittels Urkunden (Quittungen) die Zahlung der Konkursforderung nachzuweisen. Darauf wur- de sie im Anhang der Vorladungsverfügung hingewiesen (act. 5/3).</w:t>
      </w:r>
    </w:p>
    <w:p>
      <w:r>
        <w:t>- 3 - b) Mit dem Nachweis der Zahlung der Restschuld (act. 4/1) hat die Schuld- nerin eine konkurshindernde Tatsache (Tilgung) im Sinne von Art. 172 Ziff. 3 SchKG dargetan, welche vor dem erstinstanzlichen Entscheid vom 11. Ok- tober 2013 eingetreten ist. Praxisgemäss ist in solchen Fällen von der Prü- fung der Zahlungsfähigkeit der Schuldnerin gemäss Art. 174 Abs. 2 SchKG abzusehen. Da die Schuldnerin während laufender Beschwerdefrist beim Konkursamt C._____ einen Barvorschuss von Fr. 750.– für das Beschwer- deverfahren geleistet (act. 10) und die Kosten des Konkursamtes (inkl. Rest der vorinstanzlichen Spruchgebühr, Fr. 100.–) sichergestellt hat (act. 10), sind die Voraussetzungen für die Aufhebung des Konkurses erfüllt. Die Be- schwerde erweist sich als begründet.</w:t>
      </w:r>
    </w:p>
    <w:p>
      <w:r>
        <w:rPr>
          <w:b/>
        </w:rPr>
        <w:t>E. 4</w:t>
      </w:r>
    </w:p>
    <w:p>
      <w:r>
        <w:t>Die Kosten beider Instanzen hat die Schuldnerin zu tragen, da sie durch die nicht rechtzeitige Zahlung der Konkursforderung das Verfahren veranlasst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