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PS130144 vom 29. August 2013</w:t>
      </w:r>
    </w:p>
    <w:p>
      <w:r>
        <w:t>ZH Obergericht, 2013-08-29, DE</w:t>
      </w:r>
    </w:p>
    <w:p>
      <w:r>
        <w:rPr>
          <w:b/>
        </w:rPr>
        <w:t xml:space="preserve">Quelle: </w:t>
      </w:r>
      <w:r>
        <w:t>https://mcp.opencaselaw.ch/entscheid/zh_obergericht_PS130144</w:t>
      </w:r>
    </w:p>
    <w:p>
      <w:r>
        <w:t>FR: ZH_OBERGERICHT PS130144 du 29 août 2013</w:t>
      </w:r>
    </w:p>
    <w:p>
      <w:r>
        <w:t>IT: ZH_OBERGERICHT PS130144 del 29 agosto 2013</w:t>
      </w:r>
    </w:p>
    <w:p>
      <w:pPr>
        <w:pStyle w:val="Heading2"/>
      </w:pPr>
      <w:r>
        <w:t>Erwägungen</w:t>
      </w:r>
    </w:p>
    <w:p>
      <w:r>
        <w:rPr>
          <w:b/>
        </w:rPr>
        <w:t>E. 1</w:t>
      </w:r>
    </w:p>
    <w:p>
      <w:r>
        <w:t>Am 20. August 2013 wurde über die Schuldnerin der Konkurs eröffnet (act. 7). Mit rechtzeitig eingereichter Beschwerde beantragte sie die Aufhe- bung des Konkurses und stellte ein Gesuch um Erteilung der aufschieben- den Wirkung (act. 2). Diesem Gesuch wurde mit Verfügung vom 27. August 2013 entsprochen (act. 9).</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a) Das Konkurseröffnungsbegehren ging am 9. Juli 2013 bei der Vorinstanz ein (act. 8/1). Mit Zahlungsauftrag vom 19. August 2013 hat die Schuldnerin dem Betreibungsamt C._____ Fr. 10'331.- überwiesen (act. 5/4). Diese Geldleistung diente nebst der Tilgung der Konkursforderung auch der Zah- lung von zwei weiteren Betreibungsforderungen (act. 5/5-7). Zugunsten der Schuldnerin ist davon auszugehen, dass der Zahlungsauftrag vor Kon- kurseröffnung (20. August 2013 08:30 Uhr) ausgeführt wurde. Damit hat die Schuldnerin eine konkurshindernde Tatsache (Tilgung) im Sinne von Art. 172 Ziff. 3 SchKG dargetan, welche vor dem erstinstanzlichen Entscheid vom 20. August 2013 eingetreten ist. Praxisgemäss ist in solchen Fällen von der Prüfung der Zahlungsfähigkeit der Schuldnerin gemäss Art. 174 Abs. 2 SchKG abzusehen. Da die Schuldnerin einen Barvorschuss von Fr. 750.– für das Beschwerdeverfahren geleistet (act. 11 und 5/9) und während lau- fender Beschwerdefrist die Kosten des Konkursamtes inklusive Kosten des vorinstanzlichen Verfahrens sichergestellt hat (act. 5/8), sind die Vorausset-</w:t>
      </w:r>
    </w:p>
    <w:p>
      <w:r>
        <w:t>- 3 - zungen für die Aufhebung des Konkurses erfüllt. Die Beschwerde erweist sich als begründet. b) Zu bemerken ist noch, dass jeweils der Schuldner dem Konkursgericht mittels Urkunden die Tilgung der Konkursforderung nachzuweisen oder al- lenfalls eine Rückzugserklärung des Gläubigers beizubringen hat. Zudem hat der Schuldner auch die durch das Konkurseröffnungsbegehren entstan- denen Gerichtskosten auf der Konkursgerichtskanzlei bis zum Konkurseröff- nungstermin bar zu bezahlen. Darauf wird der Schuldner, was gerichtsnoto- risch ist, im Anhang zur Vorladungsverfügung hingewiesen. Beide Voraus- setzungen müssen erfüllt sein, um eine Konkurseröffnung durch das erstin- stanzliche Gericht zu verhindern.</w:t>
      </w:r>
    </w:p>
    <w:p>
      <w:r>
        <w:rPr>
          <w:b/>
        </w:rPr>
        <w:t>E. 4</w:t>
      </w:r>
    </w:p>
    <w:p>
      <w:r>
        <w:t>Die Kosten beider Instanzen hat die Schuldnerin zu tragen, da sie durch die nicht rechtzeitige Zahlung der Konkursforderung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