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PS130141 vom 30. August 2013</w:t>
      </w:r>
    </w:p>
    <w:p>
      <w:r>
        <w:t>ZH Obergericht, 2013-08-30, DE</w:t>
      </w:r>
    </w:p>
    <w:p>
      <w:r>
        <w:rPr>
          <w:b/>
        </w:rPr>
        <w:t xml:space="preserve">Quelle: </w:t>
      </w:r>
      <w:r>
        <w:t>https://mcp.opencaselaw.ch/entscheid/zh_obergericht_PS130141</w:t>
      </w:r>
    </w:p>
    <w:p>
      <w:r>
        <w:t>FR: ZH_OBERGERICHT PS130141 du 30 août 2013</w:t>
      </w:r>
    </w:p>
    <w:p>
      <w:r>
        <w:t>IT: ZH_OBERGERICHT PS130141 del 30 agosto 2013</w:t>
      </w:r>
    </w:p>
    <w:p>
      <w:pPr>
        <w:pStyle w:val="Heading2"/>
      </w:pPr>
      <w:r>
        <w:t>Erwägungen</w:t>
      </w:r>
    </w:p>
    <w:p>
      <w:r>
        <w:rPr>
          <w:b/>
        </w:rPr>
        <w:t>E. 1</w:t>
      </w:r>
    </w:p>
    <w:p>
      <w:r>
        <w:t>Am 19. August 2013 wurde über die Schuldnerin der Konkurs eröffnet (act. 3). Mit rechtzeitig eingereichter Beschwerde beantragt die Schuldnerin die Aufhebung des Konkurses und stellt ein Gesuch um Erteilung der aufschiebenden Wirkung (act. 2). Letztere wurde ihr mit Verfügung der Kammer vom 23. August 2013 gewährt (act. 8).</w:t>
      </w:r>
    </w:p>
    <w:p>
      <w:r>
        <w:rPr>
          <w:b/>
        </w:rPr>
        <w:t>E. 2</w:t>
      </w:r>
    </w:p>
    <w:p>
      <w:r>
        <w:t>Im Beschwerdeverfahren können neue Tatsachen geltend gemacht werden, wenn sie vor dem erstinstanzlichen angefochtenen Entscheid entstanden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bzw. Sicherstellung sämtlicher Kosten. 3.1 Die Schuldnerin macht geltend, sie habe die in Betreibung gesetzte Forderung von Fr. 3'441.50 zuzüglich Zins zu 5 % seit 1. Januar 2013 (= Fr. 109.45) sowie die Nebenforderung von Fr. 120.– und die Betreibungskosten von Fr. 146.– am 16. August 2013 der Gläubigerin bezahlt. Überdies habe sie mit Posteinzahlung vom 23. August 2013 dem Konkursamt C._____ zur Deckung der vor-instanzlichen Spruchgebühr sowie der Kosten für das Konkursverfahren den Betrag von Fr. 1'000.– und der Obergerichtskasse Fr. 750.– für den Kostenvorschuss überwiesen (act. 2). 3.2 Die Gläubigerin bestätigte der Schuldnerin mit Email vom 22. August 2013 den Zahlungseingang von Fr. 5'614.50 mit Valuta vom 16. August 2013 (act. 4/3). Zusätzlich geht die Zahlung aus dem Kontoauszug der D._____ vom 16. August 2013 hervor (act. 4/2). Aufgrund der Höhe der Zahlung ist davon auszugehen, dass darin der von der Gläubigerin beim Konkursgericht geleistete Vorschuss von Fr. 1'800.– mitenthalten ist. Ferner belegt die Schuldnerin mit den</w:t>
      </w:r>
    </w:p>
    <w:p>
      <w:r>
        <w:t>- 3 - Postquittungen vom 23. August 2013 die Zahlungen an das Konkursamt C._____ und an die Obergerichtskasse (act. 4/4). Demnach bestand im Zeitpunkt der Konkurseröffnung der Konkurshinderungsgrund der Tilgung, weshalb kein Grund für die Konkurseröffnung gegeben war. Da dem Konkursgericht dieser Sachverhalt aber nicht mitgeteilt wurde, eröffnete es den Konkurs zu Recht. Da die Schuldnerin im Beschwerdeverfahren sämtliche Zahlungen nachweisen konnte und auch den Kostenvorschuss für das Beschwerdeverfahren beglichen hat, ist ihr der Nachweis der Tilgung gelungen. 3.3 Nach ständiger Praxis der Kammer wird von der Prüfung der Zahlungsfähigkeit abgesehen, wenn der Konkurs gestützt auf Art. 174 Abs. 1 SchKG aufgehoben wird, also insbesondere wegen eines Verfahrensmangels, oder weil der Schuldner wie hier neu vorträgt, dass die Schuld bereits vor der Konkurseröffnung getilgt wurde (KuKo SchKG-DIGGELMANN/MÜLLER, Art. 174 N 7 u. 12). Damit erweist sich die Beschwerde als begründet, und es ist die Konkurseröffnung aufzuheben.</w:t>
      </w:r>
    </w:p>
    <w:p>
      <w:r>
        <w:rPr>
          <w:b/>
        </w:rPr>
        <w:t>E. 4</w:t>
      </w:r>
    </w:p>
    <w:p>
      <w:r>
        <w:t>Die Kosten beider Instanzen hat die Schuldnerin zu tragen, da sie durch ihre Säumnis das Verfahren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