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PS130125 vom 22. August 2013</w:t>
      </w:r>
    </w:p>
    <w:p>
      <w:r>
        <w:t>ZH Obergericht, 2013-08-22, DE</w:t>
      </w:r>
    </w:p>
    <w:p>
      <w:r>
        <w:rPr>
          <w:b/>
        </w:rPr>
        <w:t xml:space="preserve">Quelle: </w:t>
      </w:r>
      <w:r>
        <w:t>https://mcp.opencaselaw.ch/entscheid/zh_obergericht_PS130125</w:t>
      </w:r>
    </w:p>
    <w:p>
      <w:r>
        <w:t>FR: ZH_OBERGERICHT PS130125 du 22 août 2013</w:t>
      </w:r>
    </w:p>
    <w:p>
      <w:r>
        <w:t>IT: ZH_OBERGERICHT PS130125 del 22 agosto 2013</w:t>
      </w:r>
    </w:p>
    <w:p>
      <w:pPr>
        <w:pStyle w:val="Heading2"/>
      </w:pPr>
      <w:r>
        <w:t>Erwägungen</w:t>
      </w:r>
    </w:p>
    <w:p>
      <w:r>
        <w:rPr>
          <w:b/>
        </w:rPr>
        <w:t>E. 1</w:t>
      </w:r>
    </w:p>
    <w:p>
      <w:r>
        <w:t>A._____ richtete sein Wiederherstellungsgesuch an das "Bezirksgericht Uster" (siehe Adressat auf act. 1). Letzteres nahm sich des Begehrens als untere kantonale Aufsichtsbehörde über Schuldbetreibung und Konkurs an. Gemäss Art. 33 Abs. 4 SchKG ist die Wiederherstellung bei der Aufsichtsbehörde oder bei der "in der Sache zuständigen richterlichen Behörde" zu beantragen. Da vorliegend die Wiederherstellung der (vom Rechtsöffnungsrichter) angesetzten Frist zur Kla- ge beim Aberkennungsrichter beantragt ist, wäre das Bezirksgericht Uster nicht in seiner Funktion als untere kantonale Aufsichtsbehörde über Schuldbetreibung und Konkurs, sondern (aufgrund der im Streit stehenden Forderungssumme von Fr. 50'000.–) als für die Aberkennungsklage zuständiges Gericht in Kollegialbe- setzung sachlich zuständig gewesen (Art. 83 Abs. 2 SchKG i.V.m. Art. 198 lit. e Ziff. 1 ZPO i.V.m. Art. 243 Abs. 1 ZPO e contrario i.V.m. Art. 4 ZPO i.V.m. §§ 14 und 19 GOG, vgl. BSK SchKG I-Nordmann, 2. Aufl. 2010, Art. 33 N 15 m.w.H.). Dies macht insbesondere auch deshalb Sinn, weil damit das Wiederherstellungs- gesuch wie auch die nachzuholende Aberkennungsklage durch das gleiche Ge- richt behandelt werden. Die Vorinstanz hat vorliegend jedoch aufgrund des Feh- lens einer Aberkennungsklage entschieden, sie amte als untere kantonale Auf- sichtsbehörde über Schuldbetreibung und Konkurs und nicht als Sachgericht (act.</w:t>
      </w:r>
    </w:p>
    <w:p>
      <w:r>
        <w:rPr>
          <w:b/>
        </w:rPr>
        <w:t>E. 5</w:t>
      </w:r>
    </w:p>
    <w:p>
      <w:r>
        <w:t>Ein Entscheid über den Antrag um aufschiebende Wirkung erübrigt sich mit dem heutigen Urteil und der Behandlung des Rechtsmittels als Berufung. IV. 1. Die Prozesskosten des Rechtsmittelverfahrens sind von Amtes wegen fest- zusetzen (Art. 105 Abs. 1 ZPO) und nach dem Verfahrensausgang zu verteilen (Art. 106 ZPO). Grundlage für die Festsetzung der Gebühren nach dem kantona- len Tarif (Art. 96 und Art. 105 Abs. 2 ZPO) bilden der Streitwert bzw. das tatsäch- liche Streitinteresse sowie der Zeitaufwand des Gerichts bzw. des Rechtsvertre- ters und die Schwierigkeit des Falls (§ 2 GebV OG bzw. § 2 AnwGebV). Im Rechtsmittelverfahren bestimmt sich der Streitwert nach den Anträgen im Rechtsmittelverfahren (§ 12 Abs. 2 GebV OG bzw. § 13 Abs. 1 AnwGebV). 2. Bei obgenanntem Ausgang des Rechtsmittelverfahrens hat der Berufungs- kläger dessen Kosten- (Art. 106 ZPO) – mangels notwendiger Auslagen bzw. Ver- tretungskosten des nicht angehörten Berufungsbeklagten – nicht aber dessen Entschädigungsfolgen (Art. 95 Abs. 1 und 3 lit. a und b i.V.m. Art. 312 Abs. 1 ZPO) zu tragen. Bei einem Streitwert von Fr. 50'000.– (§ 12 Abs. 2 GebV OG; vgl. act. 3/3/15) erweist sich gestützt auf § 12 Abs. 1 i.V.m. § 4 Abs. 1 und 2 GebV OG eine Gerichtsgebühr von Fr. 1'800.– den Gegebenheiten (zu beurteilen war eine Teilfrage) und dem Aufwand des Rechtsmittelverfahrens als angemessen.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