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PS130119 vom 16. Juli 2013</w:t>
      </w:r>
    </w:p>
    <w:p>
      <w:r>
        <w:t>ZH Obergericht, 2013-07-16, DE</w:t>
      </w:r>
    </w:p>
    <w:p>
      <w:r>
        <w:rPr>
          <w:b/>
        </w:rPr>
        <w:t xml:space="preserve">Quelle: </w:t>
      </w:r>
      <w:r>
        <w:t>https://mcp.opencaselaw.ch/entscheid/zh_obergericht_PS130119</w:t>
      </w:r>
    </w:p>
    <w:p>
      <w:r>
        <w:t>FR: ZH_OBERGERICHT PS130119 du 16 juillet 2013</w:t>
      </w:r>
    </w:p>
    <w:p>
      <w:r>
        <w:t>IT: ZH_OBERGERICHT PS130119 del 16 luglio 2013</w:t>
      </w:r>
    </w:p>
    <w:p>
      <w:pPr>
        <w:pStyle w:val="Heading2"/>
      </w:pPr>
      <w:r>
        <w:t>Erwägungen</w:t>
      </w:r>
    </w:p>
    <w:p>
      <w:r>
        <w:rPr>
          <w:b/>
        </w:rPr>
        <w:t>E. 1</w:t>
      </w:r>
    </w:p>
    <w:p>
      <w:r>
        <w:t>Am 10. Juli 2013 wurde über den Schuldner der Konkurs eröffnet (act. 5). Mit rechtzeitig eingereichter Beschwerde beantragte er die Aufhebung des Konkurses und die Erteilung der aufschiebenden Wirkung (act. 2). Diesem Gesuch wurde mit Verfügung vom 12. Juli 2013 entsprochen (act. 8).</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Hinterlegung oder Gläubigerverzicht) nachweist. Neue Behauptungen und Urkundenbeweise über konkurshindernde Tatsachen sind im Beschwerde- verfahren unbeschränkt zugelassen, unabhängig davon, ob sie vor oder nach dem erstinstanzlichen Entscheid ergangen sind.</w:t>
      </w:r>
    </w:p>
    <w:p>
      <w:r>
        <w:rPr>
          <w:b/>
        </w:rPr>
        <w:t>E. 3</w:t>
      </w:r>
    </w:p>
    <w:p>
      <w:r>
        <w:t>Die Kosten beider Instanzen hat der Schuldner zu tragen, da er durch die nicht rechtzeitige Zahlung der Konkursforderung das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