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PS130110 vom 26. Juni 2013</w:t>
      </w:r>
    </w:p>
    <w:p>
      <w:r>
        <w:t>ZH Obergericht, 2013-06-26, DE</w:t>
      </w:r>
    </w:p>
    <w:p>
      <w:r>
        <w:rPr>
          <w:b/>
        </w:rPr>
        <w:t xml:space="preserve">Quelle: </w:t>
      </w:r>
      <w:r>
        <w:t>https://mcp.opencaselaw.ch/entscheid/zh_obergericht_PS130110</w:t>
      </w:r>
    </w:p>
    <w:p>
      <w:r>
        <w:t>FR: ZH_OBERGERICHT PS130110 du 26 juin 2013</w:t>
      </w:r>
    </w:p>
    <w:p>
      <w:r>
        <w:t>IT: ZH_OBERGERICHT PS130110 del 26 giugno 2013</w:t>
      </w:r>
    </w:p>
    <w:p>
      <w:pPr>
        <w:pStyle w:val="Heading2"/>
      </w:pPr>
      <w:r>
        <w:t>Erwägungen</w:t>
      </w:r>
    </w:p>
    <w:p>
      <w:r>
        <w:rPr>
          <w:b/>
        </w:rPr>
        <w:t>E. 1</w:t>
      </w:r>
    </w:p>
    <w:p>
      <w:r>
        <w:t>S. 1). Zur Begründung führte die Beschwerdeführerin unter anderem aus, es sei verständlich, dass das Betreibungsamt dem Ersuchen der Beschwerdegegnerin entsprochen habe bzw. diesem entsprechen musste. Die Beschwerde richte sich demzufolge nicht gegen die Arbeitsweise des Betreibungsamtes (act. 1 S. 3).</w:t>
      </w:r>
    </w:p>
    <w:p>
      <w:r>
        <w:rPr>
          <w:b/>
        </w:rPr>
        <w:t>E. 1.1</w:t>
      </w:r>
    </w:p>
    <w:p>
      <w:r>
        <w:t>Die Beschwerdeführerin gelangte mit Eingabe vom 6. Mai 2013 (Datum Poststempel; act. 1) an das Bezirksgericht Hinwil als untere kantonale Aufsichts- behörde in Schuldbetreibungs- und Konkurssachen. Sie erhob Beschwerde ge- gen die Mitteilung des Verwertungsbegehrens in den Betreibungen Nrn. …, …, … und …, die sie am 24. April 2012 (recte: 2013) in Empfang genommen habe (act.</w:t>
      </w:r>
    </w:p>
    <w:p>
      <w:r>
        <w:rPr>
          <w:b/>
        </w:rPr>
        <w:t>E. 1.2</w:t>
      </w:r>
    </w:p>
    <w:p>
      <w:r>
        <w:t>Mit Beschluss vom 30. Mai 2013 (act. 3 = act. 6) trat das Bezirksgericht Hinwil als untere kantonale Aufsichtsbehörde in Schuldbetreibungs- und Konkurs- sachen auf die Beschwerde nicht ein. Sie erhob weder Kosten noch sprach sie eine Parteientschädigung zu.</w:t>
      </w:r>
    </w:p>
    <w:p>
      <w:r>
        <w:rPr>
          <w:b/>
        </w:rPr>
        <w:t>E. 1.3</w:t>
      </w:r>
    </w:p>
    <w:p>
      <w:r>
        <w:t>Gegen diesen Entscheid erhob die Beschwerdeführerin mit Eingabe vom 20. Juni 2013 (Datum Poststempel; act. 7) rechtzeitig Beschwerde beim Oberge- richt des Kantons Zürich als obere kantonale Aufsichtsbehörde über Schuldbe- treibung und Konkurs (vgl. act. 4). Die vorinstanzlichen Akten wurden beigezogen (vgl. act. 1-4). Auf die Einholung einer Beschwerdeantwort wurde verzichtet (vgl. Art. 322 Abs. 1 ZPO i.V.m. Art. 20a Abs. 3 SchKG i.V.m. § 18 EG SchKG i.V.m. § 84 GOG).</w:t>
      </w:r>
    </w:p>
    <w:p>
      <w:r>
        <w:rPr>
          <w:b/>
        </w:rPr>
        <w:t>E. 2</w:t>
      </w:r>
    </w:p>
    <w:p>
      <w:r>
        <w:t>Prozessuales Mit ihrer Beschwerdeschrift ersucht die Beschwerdeführerin um Erteilung der auf- schiebenden Wirkung ihrer Beschwerde (vgl. act. 7 S. 1 und S. 3). Das Verfahren ist spruchreif und es ist heute ein Endentscheid zu fällen. Demnach wird das Ge- such um Erteilung der aufschiebenden Wirkung gegenstandslos.</w:t>
      </w:r>
    </w:p>
    <w:p>
      <w:r>
        <w:t>- 3 -</w:t>
      </w:r>
    </w:p>
    <w:p>
      <w:r>
        <w:rPr>
          <w:b/>
        </w:rPr>
        <w:t>E. 3</w:t>
      </w:r>
    </w:p>
    <w:p>
      <w:r>
        <w:t>Zur Beschwerde</w:t>
      </w:r>
    </w:p>
    <w:p>
      <w:r>
        <w:rPr>
          <w:b/>
        </w:rPr>
        <w:t>E. 3.1</w:t>
      </w:r>
    </w:p>
    <w:p>
      <w:r>
        <w:t>Im angefochtenen Beschluss zog die Vorinstanz im Wesentlichen in Be- tracht, dass die Beschwerdeführerin keine Beschwerdegründe geltend gemacht habe. Es sei auch keine von Amtes wegen zu beachtende Nichtigkeit einer Verfü- gung (Art. 22 SchKG) ersichtlich. Unter diesen Umständen sei auf die Einholung von Vernehmlassungen zu verzichten und auf die Beschwerde nicht einzutreten (act. 3 S. 2).</w:t>
      </w:r>
    </w:p>
    <w:p>
      <w:r>
        <w:rPr>
          <w:b/>
        </w:rPr>
        <w:t>E. 3.2</w:t>
      </w:r>
    </w:p>
    <w:p>
      <w:r>
        <w:t>In ihrer Beschwerdeschrift macht die Beschwerdeführerin demgegenüber geltend, für die Zulässigkeit einer Beschwerde sei es ihrer Auffassung nach gar nicht erforderlich, das Vorgehen des Betreibungsamtes zu rügen. Zum Beispiel könne ein Schuldner mit Beschwerde (im Sinne von Art. 17 SchKG) verlangen, dass der Gläubiger zuerst das Pfand in Anspruch nehme; in einem solchen Fall habe das Betreibungsamt mit Sicherheit keinen Fehler gemacht, der gerügt wer- den müsste (act. 7 S. 2). Es mag zwar zutreffen, dass das Gesetz in vereinzelten Fällen, namentlich in Art. 41 Abs. 1bis SchKG, auf die Möglichkeit einer Beschwerde im Sinne von Art. 17 SchKG verweist, ohne dass ein Beschwerdegrund gemäss Art. 17 SchKG vorzutragen ist. Die Beschwerdeführerin hat es versäumt, eine derartige Gesetz- bestimmung zu nennen, die sie ausnahmsweise ohne weiteres zur Beschwerde- erhebung berechtigen würde. Ebenso wenig ist eine solche Norm ersichtlich. Es ist folglich vom Regelfall auszugehen, bei dem stets zu prüfen ist, ob sämtliche Voraussetzungen für eine Beschwerde im Sinne von Art. 17 SchKG vorhanden sind.</w:t>
      </w:r>
    </w:p>
    <w:p>
      <w:r>
        <w:rPr>
          <w:b/>
        </w:rPr>
        <w:t>E. 3.3</w:t>
      </w:r>
    </w:p>
    <w:p>
      <w:r>
        <w:t>Mit Ausnahme der Fälle, in denen das Gesetz über Schuldbetreibung und Konkurs den Weg der gerichtlichen Klage vorschreibt, kann gegen jede Verfü- gung eines Betreibungs- oder eines Konkursamtes bei der Aufsichtsbehörde we- gen Gesetzesverletzung oder Unangemessenheit Beschwerde geführt werden (Art. 17 Abs. 1 SchKG). Die Beschwerde hat einen Antrag und eine Begründung zu enthalten (Art. 20a Abs. 3 SchKG i.V.m. § 18 EG SchKG i.V.m. § 83 Abs. 1</w:t>
      </w:r>
    </w:p>
    <w:p>
      <w:r>
        <w:t>- 4 - GOG). In der Beschwerdeschrift ist somit darzulegen, wogegen sich die Be- schwerde richtet und welcher Beschwerdegrund als gegeben erachtet wird. Wie die Vorinstanz richtig erkannt hat (act. 3 S. 2), hat die Beschwerdeführerin in ihrer Beschwerdeschrift vom 6. Mai 2013 keinen einzigen Beschwerdegrund ge- nannt (vgl. act. 1). Ein solcher ist den Ausführungen der Beschwerdeführerin auch nicht sinngemäss zu entnehmen. Vor diesem Hintergrund erweist es sich als kor- rekt, dass die Vorinstanz auf die Beschwerde nicht eingetreten ist, ohne näher zu prüfen, ob die Mitteilung eines Verwertungsbegehrens überhaupt ein taugliches Anfechtungsobjekt für eine Beschwerde darstellt.</w:t>
      </w:r>
    </w:p>
    <w:p>
      <w:r>
        <w:rPr>
          <w:b/>
        </w:rPr>
        <w:t>E. 3.4</w:t>
      </w:r>
    </w:p>
    <w:p>
      <w:r>
        <w:t>Da sich die Beschwerde sofort als unbegründet erwies, durfte die Vorinstanz auch darauf verzichten, die Beschwerde zur Vernehmlassung bzw. zur Beantwor- tung zuzustellen (Art. 20a Abs. 3 SchKG i.V.m. § 18 EG SchKG i.V.m. § 83 Abs. 2 GOG). Es ist der Beschwerdeführerin deshalb nicht beizupflichten, dass die Vor- instanz die Beschwerdegegnerin hätte einbeziehen d.h. ihr die Beschwerdeschrift vom 6. Mai 2013 zur Beantwortung zustellen müssen (vgl. act. 7 S. 2). Daran vermag auch nichts zu ändern, dass die Beschwerdeführerin auf eine vergleichs- weise Lösung hoffte (vgl. act. 7 S. 2).</w:t>
      </w:r>
    </w:p>
    <w:p>
      <w:r>
        <w:rPr>
          <w:b/>
        </w:rPr>
        <w:t>E. 3.5</w:t>
      </w:r>
    </w:p>
    <w:p>
      <w:r>
        <w:t>Aufgrund der dargelegten Erwägungen besteht kein Anlass, um den ange- fochtenen Entscheid wie von der Beschwerdeführerin beantragt aufzuheben. Ins- besondere wurde weder etwas vorgebracht noch ist etwas ersichtlich, weswegen der Vorinstanz eine Gesetzesverletzung, Unangemessenheit, Rechtsverweige- rung oder Rechtsverzögerung vorzuwerfen wäre. Die Beschwerde ist deshalb ab- zuweisen.</w:t>
      </w:r>
    </w:p>
    <w:p>
      <w:r>
        <w:rPr>
          <w:b/>
        </w:rPr>
        <w:t>E. 4</w:t>
      </w:r>
    </w:p>
    <w:p>
      <w:r>
        <w:t>Kosten- und Entschädigungsfolgen Für das vorliegende Beschwerdeverfahren sind keine Kosten zu erheben (vgl. Art. 20a Abs. 2 SchKG). Der Beschwerdegegnerin sind im Zusammenhang mit dem zweitinstanzlichen Verfahren keine Umtriebe entstanden. Es dürfte ihr ohne- hin keine Parteientschädigung zugesprochen werden (vgl. Art. 62 Abs. 2 GebV SchKG).</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