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PS130078 vom 13. Juni 2013</w:t>
      </w:r>
    </w:p>
    <w:p>
      <w:r>
        <w:t>ZH Obergericht, 2013-06-13, DE</w:t>
      </w:r>
    </w:p>
    <w:p>
      <w:r>
        <w:rPr>
          <w:b/>
        </w:rPr>
        <w:t xml:space="preserve">Quelle: </w:t>
      </w:r>
      <w:r>
        <w:t>https://mcp.opencaselaw.ch/entscheid/zh_obergericht_PS130078</w:t>
      </w:r>
    </w:p>
    <w:p>
      <w:r>
        <w:t>FR: ZH_OBERGERICHT PS130078 du 13 juin 2013</w:t>
      </w:r>
    </w:p>
    <w:p>
      <w:r>
        <w:t>IT: ZH_OBERGERICHT PS130078 del 13 giugno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Gegenstand des vorliegenden Verfahrens sind die Stockwerkeigentumsan- teile des Schuldners A._____ (fortan Beschwerdeführer) an der Liegenschaft C._____-Weg … in D._____, welche in der Grundpfandbetreibung Nr. … durch das Betreibungsamt B._____ (fortan Betreibungsamt) verwaltet werden. Letzteres hat die Verwaltung der Liegenschaft an die Firma E._____ AG übertragen (vgl. act. 2 und act. 9 = act. 12, je S. 2). Vorliegend wurde der Stockwerkeigentumsan- teil des Beschwerdeführers zwar bereits versteigert und zugeschlagen, doch hat der Beschwerdeführer gegen den Zuschlag bei der Vorinstanz Beschwerde erho- ben (das Verfahren ist dort noch pendent), weshalb die Verwertung noch nicht vollzogen wurde. Die Versammlung der Stockwerkeigentümer (an Stelle des Be- schwerdeführers nahmen daran zwei Mitarbeiter des Betreibungsamtes teil) be- schloss am 26. Oktober 2012, die aktuelle Heizung mit Öltank aufgrund der Sa- nierungspflicht stillzulegen und durch eine Heizanlage mit Gasfeuerung zu erset- zen (act. 2/9 S. 2). Mit der Koordination der Umsetzung dieses Vorhabens wurde die E._____ AG betraut, welche verschiedene Offerten einholte (act. 2/4 ff.). In der Folge informierte das Betreibungsamt die involvierten Personen und unter- breitete ihnen (gestützt auf Art. 18 Abs. 2 VZG) einen Vorschlag über die zu tref- fenden Massnahmen und die Art der Kostendeckung (act. 2/3), worauf der Be- schwerdeführer Stellung nahm und geltend machte, er sei mit dem Vorschlag des Betreibungsamtes nicht einverstanden (act. 2/1). Dies veranlasste das Betrei- bungsamt, sich gestützt auf Art. 18 Abs. 2 VZG mit einem Gesuch um nötige Wei- sung an die Vorinstanz zu wenden (act. 1). Diese fällte am 17. April 2013 das fol- gende Urteil (act. 9 = act. 12, zu dessen Charakter vgl. BGer 5A_623/2008 E. 1.1 f.):</w:t>
      </w:r>
    </w:p>
    <w:p>
      <w:r>
        <w:t>- 3 - " 1. Die Gesuchstellerin wird angewiesen, in der Liegenschaft C._____-Weg … in D._____, den Einbau einer neuen Heizungsanlage mit Gasfeuerung gemäss Offerten der Firma F._____ AG (act. 2/7) und der Gemeinde D._____ (act. 2/6) ausführen zu lassen.</w:t>
      </w:r>
    </w:p>
    <w:p>
      <w:r>
        <w:rPr>
          <w:b/>
        </w:rPr>
        <w:t>E. 2</w:t>
      </w:r>
    </w:p>
    <w:p>
      <w:r>
        <w:t>Die pauschale Spruchgebühr wird auf Fr. 150.– festgesetzt und vom Betrei- bungsamt B._____ zu Lasten des Grundpfandverwertungsverfahrens Nr. ... bezogen.</w:t>
      </w:r>
    </w:p>
    <w:p>
      <w:r>
        <w:rPr>
          <w:b/>
        </w:rPr>
        <w:t>E. 3</w:t>
      </w:r>
    </w:p>
    <w:p>
      <w:r>
        <w:t>[Schriftliche Mitteilung]</w:t>
      </w:r>
    </w:p>
    <w:p>
      <w:r>
        <w:rPr>
          <w:b/>
        </w:rPr>
        <w:t>E. 4</w:t>
      </w:r>
    </w:p>
    <w:p>
      <w:r>
        <w:t>Zusammenfassend erweisen sich die Vorbringen des Beschwerdeführers – soweit sie zu beachten sind – als unbegründet und es besteht kein Anlass für ein Einschreiten der Kammer. Die Beschwerde ist demzufolge abzuweisen, so- weit überhaupt darauf einzutreten ist.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