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PS130073 vom 31. Mai 2013</w:t>
      </w:r>
    </w:p>
    <w:p>
      <w:r>
        <w:t>ZH Obergericht, 2013-05-31, DE</w:t>
      </w:r>
    </w:p>
    <w:p>
      <w:r>
        <w:rPr>
          <w:b/>
        </w:rPr>
        <w:t xml:space="preserve">Quelle: </w:t>
      </w:r>
      <w:r>
        <w:t>https://mcp.opencaselaw.ch/entscheid/zh_obergericht_PS130073</w:t>
      </w:r>
    </w:p>
    <w:p>
      <w:r>
        <w:t>FR: ZH_OBERGERICHT PS130073 du 31 mai 2013</w:t>
      </w:r>
    </w:p>
    <w:p>
      <w:r>
        <w:t>IT: ZH_OBERGERICHT PS130073 del 31 maggio 2013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Beschwerdeführer bringt vor, durch verschiedene Umstände sei ver- säumt worden, die Umbaukosten des Grundstücks Nr. ... / ..., Grundbuch D._____, dem kantonalen Steueramt St. Gallen einzureichen. Zudem werde die Partei E._____ AG … die Forderung zurückziehen, so dass er durch eine neue Berechnung in der Lage sei, den Konkurs abzuwenden (act. 2).</w:t>
      </w:r>
    </w:p>
    <w:p>
      <w:r>
        <w:rPr>
          <w:b/>
        </w:rPr>
        <w:t>E. 3</w:t>
      </w:r>
    </w:p>
    <w:p>
      <w:r>
        <w:t>Soweit der Beschwerdeführer mit seinen Ausführungen sinngemäss den Widerruf des Konkurses nach Art. 195 SchKG verlangt, ist Folgendes zu erwäh- nen: Vorderhand wäre zu prüfen, ob ein entsprechender Antrag des Schuldners im Beschwerdeverfahren betreffend Schliessung des Konkurses überhaupt zuläs- sig ist. Da ein Widerruf des Konkurses nur bis zum Schluss des konkursamtlichen Verfahrens, das heisst solange die Schlussverteilung noch nicht stattgefunden</w:t>
      </w:r>
    </w:p>
    <w:p>
      <w:r>
        <w:t>- 3 - hat, verfügt werden kann (BK SchKG II-Brunner/Boller, 2. Aufl., Art. 195 N 13), kann diese Frage aber offen bleiben. Gemäss Schlussbericht des Konkursamts C._____ wurde der Erlös der Aktiven nämlich bereits verteilt (vgl. act. 6/11), was im Übrigen vom Beschwerdeführer auch nicht bestritten wird. Was der Beschwer- deführer mit seinem Einwand betreffend Umbaukosten konkret geltend machen will, ist nicht nachvollziehbar. Andere Gründe, wie beispielsweise nicht liquidierte Aktiven oder nicht erledigte Beschwerden (vgl. BK-SchKG II-Staehelin, 2. Aufl., Art. 268 N5), welche der Schliessung des Konkurses hätten entgegen stehen können, bringt der Beschwerdeführer nicht vor. Die Beschwerde ist daher abzu- weisen, soweit darauf einzutreten ist.</w:t>
      </w:r>
    </w:p>
    <w:p>
      <w:r>
        <w:rPr>
          <w:b/>
        </w:rPr>
        <w:t>E. 4</w:t>
      </w:r>
    </w:p>
    <w:p>
      <w:r>
        <w:t>Ausgangsgemäss wird der Beschwerdeführer nach Art. 106 Abs. 1 ZPO für das Beschwerdeverfahren kostenpflichtig. In Anwendung der Gebührenverord- nung zum Bundesgesetz über Schuldbetreibung und Konkurs (in der seit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