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PS130065 vom 26. Juni 2013</w:t>
      </w:r>
    </w:p>
    <w:p>
      <w:r>
        <w:t>ZH Obergericht, 2013-06-26, DE</w:t>
      </w:r>
    </w:p>
    <w:p>
      <w:r>
        <w:rPr>
          <w:b/>
        </w:rPr>
        <w:t xml:space="preserve">Quelle: </w:t>
      </w:r>
      <w:r>
        <w:t>https://mcp.opencaselaw.ch/entscheid/zh_obergericht_PS130065</w:t>
      </w:r>
    </w:p>
    <w:p>
      <w:r>
        <w:t>FR: ZH_OBERGERICHT PS130065 du 26 juin 2013</w:t>
      </w:r>
    </w:p>
    <w:p>
      <w:r>
        <w:t>IT: ZH_OBERGERICHT PS130065 del 26 giugno 2013</w:t>
      </w:r>
    </w:p>
    <w:p>
      <w:pPr>
        <w:pStyle w:val="Heading2"/>
      </w:pPr>
      <w:r>
        <w:t>Erwägungen</w:t>
      </w:r>
    </w:p>
    <w:p>
      <w:r>
        <w:rPr>
          <w:b/>
        </w:rPr>
        <w:t>E. 1</w:t>
      </w:r>
    </w:p>
    <w:p>
      <w:r>
        <w:t>Mit Urteil vom 23. Mai 2013 eröffnete das Einzelgericht in Konkurssa- chen des Bezirksgerichts Zürich den Konkurs über die Schuldnerin und Be- schwerdeführerin (fortan Schuldnerin) für eine Forderung der Gläubigerin und Be- schwerdegegnerin (fortan Gläubigerin) über Fr. 635.50 nebst Zins zu 5 % seit 31. März 2012, Fr. 635.50 nebst Zinst zu 5 % seit 30. Juni 2012, Fr. 200.00 (Mahnkosten à 2 mal Fr. 100.00) sowie Betreibungskosten von Fr. 270.00 (act. 3).</w:t>
      </w:r>
    </w:p>
    <w:p>
      <w:r>
        <w:rPr>
          <w:b/>
        </w:rPr>
        <w:t>E. 2</w:t>
      </w:r>
    </w:p>
    <w:p>
      <w:r>
        <w:t>Mit Eingabe vom 31. Mai 2013, beim Obergericht eingegangen am</w:t>
      </w:r>
    </w:p>
    <w:p>
      <w:r>
        <w:rPr>
          <w:b/>
        </w:rPr>
        <w:t>E. 3</w:t>
      </w:r>
    </w:p>
    <w:p>
      <w:r>
        <w:t>Mit Verfügung vom 3. Juni 2013 wurde der Beschwerde einstweilen die aufschiebende Wirkung zuerkannt und der Schuldnerin Frist angesetzt, um für die Kosten des Beschwerdeverfahrens einen Vorschuss von Fr. 750.00 zu bezahlen (act. 8). Der Vorschuss wurde fristgemäss geleistet (act. 10).</w:t>
      </w:r>
    </w:p>
    <w:p>
      <w:r>
        <w:rPr>
          <w:b/>
        </w:rPr>
        <w:t>E. 4</w:t>
      </w:r>
    </w:p>
    <w:p>
      <w:r>
        <w:t>Die Akten des erstinstanzlichen Verfahrens wurden beigezogen (act. 7/1-9).</w:t>
      </w:r>
    </w:p>
    <w:p>
      <w:r>
        <w:rPr>
          <w:b/>
        </w:rPr>
        <w:t>E. 6</w:t>
      </w:r>
    </w:p>
    <w:p>
      <w:r>
        <w:t>Das Verfahren erweist sich als spruchreif.</w:t>
      </w:r>
    </w:p>
    <w:p>
      <w:r>
        <w:t>- 3 - II. 1. Eine Konkurseröffnung setzt voraus, dass den Parteien die gerichtliche Verhandlung über das Konkursbegehren rechtzeitig angezeigt wurde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2. Die Vorinstanz hat die Verhandlung über das Konkursbegehren der Gläubigerin auf den 23. Mai 2013, 10:00 Uhr, angesetzt. Die Verhandlungsanzei- ge an die Schuldnerin wurde am 12. April 2013 eingeschrieben an ihre Adresse gemäss Handelsregister (…) versandt, von der Post indessen mit dem Vermerk "Empfänger konnte unter angegebener Adresse nicht ermittelt werden" retour- niert. Eine zweite Zustellung an dieselbe Adresse erfolgte am 15. April 2013 per A-Post (act. 7/4). Auch diese Sendung wurde von der Post mit demselben Ver- merk retourniert (act. 7/5). Weitere Zustellversuche wurden durch die Vorinstanz gemäss Aktennotiz nicht vorgenommen, und in den Akten findet sich kein Zustellungsnachweis. Da- her ist davon auszugehen, dass die Schuldnerin mit Recht vorbringt, nicht in den Besitz der gerichtlichen Verhandlungsanzeige gelangt zu sein (act. 2 S. 3). 3. 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 sen Wahrscheinlichkeit mit der Zustellung eines behördlichen Aktes gerechnet werden muss. Die Zustellung der Konkursandrohung an den Schuldner durch das Betreibungsamt begründet mit Bezug auf ein allfälliges Konkurseröffnungsverfah- ren beim Konkursgericht noch kein Prozessrechtsverhältnis und damit keine Pflicht des Schuldners, dafür zu sorgen, dass ihm gerichtliche Entscheide zuge-</w:t>
      </w:r>
    </w:p>
    <w:p>
      <w:r>
        <w:t>- 4 - stellt werden können. Allein aufgrund der Konkursandrohung muss der Schuldner nach der Praxis der Kammer nicht jederzeit mit einer gerichtlichen Zustellung rechnen und in der Lage sein, gerichtliche Postsendungen entgegenzunehmen (vgl. ZR 104 Nr. 43 sowie OGer ZH PS120214 vom 30. November 2012, E. II./2.; vgl. auch BGE 130 III 396). Die von Art. 138 Abs. 3 lit. a ZPO für eingeschriebene Postsendungen statuierte Zustellungsfiktion greift deshalb im vorliegenden Fall nicht. Die Anzeige der Konkurseröffnungsverhandlung gilt somit nicht als zuge- stellt, weshalb der angefochtene Entscheid betreffend Konkurseröffnung wegen Verletzung des Anspruchs der Schuldnerin auf rechtliches Gehör aufzuheben ist. 4. Vorliegend fällt weiter in Betracht, dass die Vorinstanz offenbar den auf Zahlungsbefehl und Konkursandrohung unter der Adresse der Schuldnerin ange- brachten Hinweis auf die von der Schuldnerin angegebene Zustelladresse "B._____, … [Adresse]" übersah (vgl. act. 7/2/1-2). Erst nachdem auch die Zustel- lung des angefochtenen Entscheids an die Adresse der Schuldnerin gemäss Handelsregister scheiterte, bemerkte die Vorinstanz das Versehen und stellte den Entscheid an die Zustelladresse zu (act. 7/8-9). Die Schuldnerin stellt sich zu Recht auf den Standpunkt, dass die Vorinstanz sich an die angegebene Zustella- dresse hätte halten müssen (vgl. Art. 137 ZPO). Ob die Parteivertretung sich auf die Prozessführung oder, wie vorliegend, bloss auf die Entgegennahme von Schriftstücken bezieht, ist unerheblich. Aus der insoweit mangelhaften Zustellung darf der vertretenen Partei kein Nachteil entstehen. Die Zustellung allein an den privat Vertretenen statt an den Vertreter ist daher nichtig (vgl. ZK ZPO-Staehelin, 2. Auflage 2013, Art. 137 N 3 f.). 5. Eine Rückweisung der Sache an die Vorinstanz zur Ansetzung einer neuen Verhandlung und zu nochmaligem Entscheid über das Konkursbegehren erübrigt sich. Die Schuldnerin hat die Konkursforderung inkl. Kosten und Zinsen am 29. Mai 2013 mit Zahlung an das Betreibungsamt getilgt (Bestätigung des Be- treibungsamts Zürich 1 vom 29. Mai 2013 über den Erhalt von Fr. 1'825.05 für die vorliegende Betreibung, act. 4/4). Zudem hat die Schuldnerin innert der Rechts- mittelfrist die Kosten des Konkursamtes und die vorinstanzliche Spruchgebühr mit</w:t>
      </w:r>
    </w:p>
    <w:p>
      <w:r>
        <w:t>- 5 - der Leistung eines Barvorschusses von Fr. 1'700.00 beim Konkursamt Zürich … sichergestellt. Nach der Bestätigung des Konkursamtes genügt dieser Betrag, um die Kosten des Konkursamts und die erstinstanzliche Entscheidgebühr sicherzu- stellen (act. 4/5-6). Die Voraussetzungen für eine Konkurseröffnung sind daher heute nicht mehr erfüllt (Art. 172 Ziff. 3 SchKG). Entsprechend ist der angefochtene Ent- scheid in Gutheissung der Beschwerde ohne weiteres aufzuheben. III. 1. Die erstinstanzliche, aus dem Barvorschuss der Gläubigerin bezogene Spruchgebühr von Fr. 400.00 ist trotz Gutheissung der Beschwerde der Schuld- nerin aufzuerlegen, weil sie der Gläubigerin mit ihrer Zahlungssäumnis begründe- ten Anlass zum Konkursbegehren gegeben hat (vgl. OGer ZH PS120214 vom 30. November 2012, E. V.). 2. Die zweitinstanzliche Entscheidgebühr fällt ausser Ansatz, weil die Par- teien den Mangel des vorinstanzlichen Verfahrens nicht zu vertreten haben. Auch die Kosten des Konkursamtes Oerlikon-Zürich sind auf die Staatskasse zu neh- men (vgl. auch dazu PS120214 vom 30. November 2012, E. V.). Für eine Partei- entschädigung aus der Staatskasse fehlt eine gesetzliche Grundlage (ZK ZPO- Jenny, 2, Auflage 2013, Art. 107 N 26;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