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PS130045 vom 16. April 2013</w:t>
      </w:r>
    </w:p>
    <w:p>
      <w:r>
        <w:t>ZH Obergericht, 2013-04-16, DE</w:t>
      </w:r>
    </w:p>
    <w:p>
      <w:r>
        <w:rPr>
          <w:b/>
        </w:rPr>
        <w:t xml:space="preserve">Quelle: </w:t>
      </w:r>
      <w:r>
        <w:t>https://mcp.opencaselaw.ch/entscheid/zh_obergericht_PS130045</w:t>
      </w:r>
    </w:p>
    <w:p>
      <w:r>
        <w:t>FR: ZH_OBERGERICHT PS130045 du 16 avril 2013</w:t>
      </w:r>
    </w:p>
    <w:p>
      <w:r>
        <w:t>IT: ZH_OBERGERICHT PS130045 del 16 aprile 2013</w:t>
      </w:r>
    </w:p>
    <w:p>
      <w:pPr>
        <w:pStyle w:val="Heading2"/>
      </w:pPr>
      <w:r>
        <w:t>Erwägungen</w:t>
      </w:r>
    </w:p>
    <w:p>
      <w:r>
        <w:rPr>
          <w:b/>
        </w:rPr>
        <w:t>E. 1</w:t>
      </w:r>
    </w:p>
    <w:p>
      <w:r>
        <w:t>Das Konkursgericht des Bezirksgerichts Zürich eröffnete mit Urteil vom 20. März 2013 über die Beschwerdeführerin den Konkurs (act. 3). Mit Beschwer- de vom 28. März 2013 beantragte die Beschwerdeführerin rechtzeitig die Aufhe- bung des Konkurses zufolge Hinterlegung der Konkursforderung und stellte sinn- gemäss ein Gesuch um Erteilung der aufschiebenden Wirkung (act. 2). Sodann reichte sie zahlreiche Beilagen ein (act. 4/1-11). Mit Präsidialverfügung vom</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Konkurs- hinderungsgründe innert der Rechtsmittelfrist glaubhaft zu machen bzw. durch Urkunden nachzuweisen hat. Neue Behauptungen und Urkundenbeweise über konkurshindernde Tatsachen sind innert der Rechtsmittelfrist aber selbst dann zu- lässig, wenn sie nach dem erstinstanzlichen Entscheid ergangen sind. Nachfristen sind hingegen keine zu gewähren (BGE 136 III 294).</w:t>
      </w:r>
    </w:p>
    <w:p>
      <w:r>
        <w:rPr>
          <w:b/>
        </w:rPr>
        <w:t>E. 3</w:t>
      </w:r>
    </w:p>
    <w:p>
      <w:r>
        <w:t>Die Beschwerdeführerin hinterlegte bei der Obergerichtskasse am 28. März 2013 einen Betrag in Höhe von Fr. 2'283.90 zuhanden der Beschwerde- gegnerin, womit die Konkursforderung inklusive Zinsen und Kosten gedeckt ist (act. 3, act. 4/1 und act. 11). Ferner hat die Beschwerdeführerin eine Quittung des Konkursamtes C._____ vom 28. März 2013 vorgelegt, wonach sie zur Deckung der Kosten des Konkursamtes und des Konkursgerichtes einen Kostenvorschuss</w:t>
      </w:r>
    </w:p>
    <w:p>
      <w:r>
        <w:t>- 3 - von Fr. 750.– geleistet hat (act. 4/2). Damit hat die Beschwerdeführerin den Kon- kursaufhebungsgrund der Hinterlegung im Sinne von Art. 174 Abs. 2 Ziff. 2 SchKG innert der Rechtsmittelfrist durch Urkunden nachgewiesen.</w:t>
      </w:r>
    </w:p>
    <w:p>
      <w:r>
        <w:rPr>
          <w:b/>
        </w:rPr>
        <w:t>E. 4</w:t>
      </w:r>
    </w:p>
    <w:p>
      <w:r>
        <w:t>September 2007, Erw. 3.1). Die Zahlungsfähigkeit der Beschwerdeführerin erweist sich somit als wahr- scheinlicher und mithin als hinreichend glaubhaft im Sinne von Art. 174 Abs. 2 SchKG. Dies führt zur Gutheissung der Beschwerde und zur Aufhebung des über die Beschwerdeführerin eröffneten Konkurses.</w:t>
      </w:r>
    </w:p>
    <w:p>
      <w:r>
        <w:rPr>
          <w:b/>
        </w:rPr>
        <w:t>E. 6</w:t>
      </w:r>
    </w:p>
    <w:p>
      <w:r>
        <w:t>Obschon die Beschwerde gutgeheissen wird, sind die Gerichtsgebüh- ren beider Instanzen der Beschwerdeführerin aufzuerlegen, weil sie das Verfah- ren durch ihre Zahlungssäumnis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