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PS130036 vom 28. März 2013</w:t>
      </w:r>
    </w:p>
    <w:p>
      <w:r>
        <w:t>ZH Obergericht, 2013-03-28, DE</w:t>
      </w:r>
    </w:p>
    <w:p>
      <w:r>
        <w:rPr>
          <w:b/>
        </w:rPr>
        <w:t xml:space="preserve">Quelle: </w:t>
      </w:r>
      <w:r>
        <w:t>https://mcp.opencaselaw.ch/entscheid/zh_obergericht_PS130036</w:t>
      </w:r>
    </w:p>
    <w:p>
      <w:r>
        <w:t>FR: ZH_OBERGERICHT PS130036 du 28 mars 2013</w:t>
      </w:r>
    </w:p>
    <w:p>
      <w:r>
        <w:t>IT: ZH_OBERGERICHT PS130036 del 28 marzo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Verfügung vom 12. März 2013 trat das Einzelgericht im summarischen Ver- fahren des Bezirksgerichtes Pfäffikon auf das Konkursbegehren der Gläubigerin nicht ein. Es erwog, dass der geforderte Kostenvorschuss bis zur Konkurseröff- nungsverhandlung nicht geleistet worden sei, weshalb androhungsgemäss zu ver- fahren sei. Mit Eingabe an das Obergericht vom 18. März 2013 erhebt die Gläubigerin recht- zeitig Beschwerde. Sie beantragt sinngemäss, es sei auf ihr Konkursbegehren einzutreten; es sei ihr mitzuteilen, ob der Kostenvorschuss geleistet werden kön- ne. Sie macht geltend, die Zahlung des Kostenvorschusses von Fr. 1'800.– sei in Auftrag gegeben, aber nicht ausgeführt worden.</w:t>
      </w:r>
    </w:p>
    <w:p>
      <w:r>
        <w:rPr>
          <w:b/>
        </w:rPr>
        <w:t>E. 2</w:t>
      </w:r>
    </w:p>
    <w:p>
      <w:r>
        <w:t>Mit der Beschwerde kann unrichtige Rechtsanwendung und offensichtlich un- richtige Feststellung des Sachverhaltes geltend gemacht werden (Art. 320 ZPO). Wer das Konkursbegehren stellt, haftet für die Kosten, die bis und mit der Einstel- lung des Konkurses mangels Aktiven oder bis zum Schuldenruf entstehen. Das Gericht kann von dem Gläubiger einen entsprechenden Kostenvorschuss verlan- gen (Art. 169 Abs. 1 und 2 SchKG). Der Nichteintretensentscheid des Konkursge- richtes leidet insoweit an keinem Mangel. Wenn der Zahlungsauftrag der Gläubi- gerin nicht ausgeführt wurde, liegt das Versäumnis in der Sphäre der Gläubigerin. Die Beschwerde ist somit unbegründet. Sie ist unter Kostenfolge zu Lasten der Gläubigerin abzuweisen (Art. 106 Abs. 1 ZPO). Dem Schuldner ist mangels er- heblicher Umtriebe keine Entschädigung zuzusprechen.</w:t>
      </w:r>
    </w:p>
    <w:p>
      <w:r>
        <w:t>- 3 -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