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PS120244 vom 7. Januar 2013</w:t>
      </w:r>
    </w:p>
    <w:p>
      <w:r>
        <w:t>ZH Obergericht, 2013-01-07, DE</w:t>
      </w:r>
    </w:p>
    <w:p>
      <w:r>
        <w:rPr>
          <w:b/>
        </w:rPr>
        <w:t xml:space="preserve">Quelle: </w:t>
      </w:r>
      <w:r>
        <w:t>https://mcp.opencaselaw.ch/entscheid/zh_obergericht_PS120244</w:t>
      </w:r>
    </w:p>
    <w:p>
      <w:r>
        <w:t>FR: ZH_OBERGERICHT PS120244 du 7 janvier 2013</w:t>
      </w:r>
    </w:p>
    <w:p>
      <w:r>
        <w:t>IT: ZH_OBERGERICHT PS120244 del 7 gennaio 2013</w:t>
      </w:r>
    </w:p>
    <w:p>
      <w:pPr>
        <w:pStyle w:val="Heading2"/>
      </w:pPr>
      <w:r>
        <w:t>Erwägungen</w:t>
      </w:r>
    </w:p>
    <w:p>
      <w:r>
        <w:rPr>
          <w:b/>
        </w:rPr>
        <w:t>E. 1</w:t>
      </w:r>
    </w:p>
    <w:p>
      <w:r>
        <w:t>Am 13. Dezember 2012 wurde über die Schuldnerin der Konkurs eröffnet (act. 9). Mit rechtzeitig eingereichter Beschwerde beantragte sie die Aufhe- bung des Konkurses und stellte ein Gesuch um Erteilung der aufschieben- den Wirkung (act. 2). Diesem Gesuch wurde mit Verfügung vom 21. De- zember 2012 entsprochen (act. 11). Mit Eingabe vom 18. Dezember 2012 teilte die Gläubigerin dem Obergericht ihr Desinteresse an der Konkurseröff- nung mit (act. 7).</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Innert laufender Beschwerdefrist bezahlte die Schuldnerin die Konkursforde- rung (inkl. Zinsen und Kosten, act. 5/3 i.Vm. act. 9) und stellte ausserdem beim Konkursamt die Kosten des Konkursamtes und die erstinstanzlichen Verfahrenskosten sicher (act. 5/5). Damit ist eine konkurshindernde Tatsa- che im Sinne von Art. 172 Ziff. 3 SchKG dargetan. Auch für die zweitinstanz- liche Gerichtsgebühr in der Höhe von Fr. 750.- leistete die Schuldnerin einen Barvorschuss (act. 5/12).</w:t>
      </w:r>
    </w:p>
    <w:p>
      <w:r>
        <w:rPr>
          <w:b/>
        </w:rPr>
        <w:t>E. 4</w:t>
      </w:r>
    </w:p>
    <w:p>
      <w:r>
        <w:t>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w:t>
      </w:r>
    </w:p>
    <w:p>
      <w:r>
        <w:t>- 3 -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w:t>
      </w:r>
    </w:p>
    <w:p>
      <w:r>
        <w:rPr>
          <w:b/>
        </w:rPr>
        <w:t>E. 5</w:t>
      </w:r>
    </w:p>
    <w:p>
      <w:r>
        <w:t>a) Wesentlichen Aufschluss über das Zahlungsverhalten und die finanzielle Lage eines Schuldners gibt insbesondere das Betreibungsregister. b) Der Betreibungsregister-Auszug umfasst den Zeitraum 1. Januar 2010 bis 19. Dezember 2012 und führt darin 14 Betreibungen im Betrag von Fr. 48'723.45 auf (act. 5/6). Hiezu ist zu bemerken, dass die Schuldnerin erst seit dem tt. Juli 2011 im Handelsregister eingetragen ist (vgl. act. 8) und alle Betreibungen im Jahr 2012 eingeleitet wurden. In zwei Betreibungen (Fr. 6'732.80) wurde Rechtsvorschlag erhoben. Gemäss Betreibungsregis- terauszug vom 19. Dezember 2012 hat die Schuldnerin mit Ausnahme die- ser zwei Betreibungen inzwischen alle Betreibungsausstände getilgt (act. 5/6). Sie machte keine Angaben, weshalb diese zwei Forderungen be- stritten werden. Zu bemerken ist allerdings, dass eine bestrittene Forderung im Umfang von Fr. 4'204.40 die Beschwerdegegnerin betrifft (act. 5/6), wel- che, wie bereits erwähnt, ihr Desinteresse an der Konkurseröffnung erklärt hat. c) In der für den Zeitraum 1. August 2011 bis 31. Oktober 2012 erstellten Zwischenbilanz wird ein Reingewinn von Fr. 6'473.57 ausgewiesen (act. 5/10). Auf dem Saldobeleg der … [Bank] zum Kontokorrent-Konto der Schuldnerin wird per 20. Dezember 2012 zu deren Gunsten ein Guthaben von Fr. 12'244.08 aufgeführt (act. 5/7). Gestützt auf die eingereichte Zwischenbilanz (act. 5/10) und den Liquiditäts- plan (act. 5/11) kann davon ausgegangen werden, dass die Schuldnerin die laufenden Verbindlichkeiten zu erfüllen vermag. Dafür spricht auch, dass es der Schuldnerin möglich war, den grössten Teil der Betreibungsforderungen</w:t>
      </w:r>
    </w:p>
    <w:p>
      <w:r>
        <w:t>- 4 - aus dem Jahre 2012 im selben Jahr zu begleichen. Das vorhandene Gutha- ben würde ausreichen, um die bestrittenen Betreibungsforderungen zu be- zahlen. Aus den eingereichten Unterlagen ergibt sich somit, dass die Schuldnerin noch hinreichend zahlungsfähig scheint, und es sich offenbar um vorübergehende Zahlungsschwierigkeiten gehandelt hat, die auf die Startphase zurückzuführen sind.</w:t>
      </w:r>
    </w:p>
    <w:p>
      <w:r>
        <w:rPr>
          <w:b/>
        </w:rPr>
        <w:t>E. 6</w:t>
      </w:r>
    </w:p>
    <w:p>
      <w:r>
        <w:t>Damit erweist sich die Beschwerde als begründet. Das vorinstanzliche Kon- kurserkenntnis ist aufzuheben.</w:t>
      </w:r>
    </w:p>
    <w:p>
      <w:r>
        <w:rPr>
          <w:b/>
        </w:rPr>
        <w:t>E. 7</w:t>
      </w:r>
    </w:p>
    <w:p>
      <w:r>
        <w:t>Die Kosten beider Instanzen hat ─ entgegen dem Antrag der Schuldnerin (vgl. act. 2 S. 2) ─ die Schuldnerin zu tragen, da sie durch die verspätete Zahlung das Verfahren veranlasst hat. Die Kammer vertritt die Auffassung, dass die Gebührenverordnung zum SchKG (GebVO SchKG, AS 2010 3053) seit dem 1. Januar 2011 insoweit keine gesetzliche Grundlage mehr hat, als sie in ihrem 4. Kapitel (Art. 48 ff.) Gerichtsgebühren (nämlich für die im summarischen Verfahren zu führenden gerichtlichen Angelegenheiten) festsetzt. Entscheide über Konkurseröffnun- gen sind nämlich gerichtliche Angelegenheiten des Schuldbetreibungs- und Konkursrechts (im Sinne von Art. 1 lit. c ZPO), weshalb diese Verfahren von der ZPO geregelt werden und die Tarife der kantonalen Verordnungen, im Kanton Zürich jene der Gebührenverordnung des Obergerichtes (GebV OG, LS 211.11) zur Anwendung gelangen (Art. 96 ZPO). Es ist deshalb nachfol- gend nicht eine "Spruchgebühr" (im Sinne von Art. 48 GebVO SchKG), son- dern eine Gerichtsgebühr im Sinne der GebV OG festzusetzen (vgl. dazu www.gerichte-zh.ch/entscheide/entscheide-neue-zpo.html: Kosten gerichtli- cher Schk-Sachen). In Anwendung dieser obergerichtlichen Gebührenverordnung ist die Ge- richtsgebühr für das Beschwerdeverfahren auf Fr. 750.- anzusetzen.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