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PS120160 vom 23. Oktober 2012</w:t>
      </w:r>
    </w:p>
    <w:p>
      <w:r>
        <w:t>ZH Obergericht, 2012-10-23, DE</w:t>
      </w:r>
    </w:p>
    <w:p>
      <w:r>
        <w:rPr>
          <w:b/>
        </w:rPr>
        <w:t xml:space="preserve">Quelle: </w:t>
      </w:r>
      <w:r>
        <w:t>https://mcp.opencaselaw.ch/entscheid/zh_obergericht_PS120160</w:t>
      </w:r>
    </w:p>
    <w:p>
      <w:r>
        <w:t>FR: ZH_OBERGERICHT PS120160 du 23 octobre 2012</w:t>
      </w:r>
    </w:p>
    <w:p>
      <w:r>
        <w:t>IT: ZH_OBERGERICHT PS120160 del 23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Zahlungsbefehl vom 25. Mai 2012 des Betreibungsamts C._____, Betreibung Nr. …, setzte die Beschwerdeführerin (vor Obergericht, nachfolgend Beschwerdeführerin) eine Forderung von Fr. 8'798'523.65 gegen den Beschwer- degegner (vor Obergericht, nachfolgend Beschwerdegegner) in Betreibung. Als Forderungsgrund wird "Schadenersatzforderung für entgangene, vertraglich ver- einbarte Umsätze, verursacht durch rechtswidrige Anwendungen des Betrei- bungsrechts der D._____ AG (…) als solidarhaftender Geschäftsherr nach Art. 55 OR i.V.m. Art. 55 ZGB" angegeben. Der Zahlungsbefehl wurde dem Beschwerdegegner am 19. Juni 2012 zuge- stellt (act. 3/2).</w:t>
      </w:r>
    </w:p>
    <w:p>
      <w:r>
        <w:rPr>
          <w:b/>
        </w:rPr>
        <w:t>E. 2</w:t>
      </w:r>
    </w:p>
    <w:p>
      <w:r>
        <w:t>Der Beschwerdegegner erhob am 21. Juni 2012 vor der Vorinstanz Beschwerde gegen den Zahlungsbefehl vom 25. Mai 2012 und beantragte, die amtliche Zustellung der Betreibung Nr. … (Zahlungsbefehl vom 25. Mai 2012) sei als rechtsmissbräuchlich und damit als nichtig zu erklären. Ferner beantragte er, die Betreibung Nr. … sei im Rahmen des Einsichtsrechts von Art. 8a SchKG zu unterdrücken (act. 1 S. 2).</w:t>
      </w:r>
    </w:p>
    <w:p>
      <w:r>
        <w:rPr>
          <w:b/>
        </w:rPr>
        <w:t>E. 3</w:t>
      </w:r>
    </w:p>
    <w:p>
      <w:r>
        <w:t>Mit Zirkulationsbeschluss vom 28. August 2012 hiess die Vorinstanz die Beschwerde des Beschwerdegegners gut und stellte fest, dass die Betreibung Nr. … des Betreibungsamtes C._____ (inkl. des erwähnten Zahlungsbefehls vom 25. Mai 2012) nichtig sei, und wies das Betreibungsamt an, diese Betreibung im Betreibungsregister zu löschen (act. 16 = act. 21).</w:t>
      </w:r>
    </w:p>
    <w:p>
      <w:r>
        <w:rPr>
          <w:b/>
        </w:rPr>
        <w:t>E. 4</w:t>
      </w:r>
    </w:p>
    <w:p>
      <w:r>
        <w:t>Mit Eingabe vom 10. September 2012 (Datum Poststempel) erhob die Beschwerdeführerin Beschwerde gegen den Beschluss vom 28. August 2012 und stellte die folgenden Anträge (act. 20 S. 2 f.):</w:t>
      </w:r>
    </w:p>
    <w:p>
      <w:r>
        <w:t>- 3 - "1. Es sei der Zirkulationsbeschluss vom 28. August 2012 des Bezirksgerichts Zürich aufzuheben. 2. Es sei die amtliche Wieder-Inkraftsetzung der Betreibung Nr. … (Zahlungsbefehl vom 25. Mai 2012) des Betreibungsamts C._____ zu erklären. 3. Es sei die Beschwerde gutzuheissen und die bereits erteilte aufschiebende Wirkung aufzuheben."</w:t>
      </w:r>
    </w:p>
    <w:p>
      <w:r>
        <w:rPr>
          <w:b/>
        </w:rPr>
        <w:t>E. 5</w:t>
      </w:r>
    </w:p>
    <w:p>
      <w:r>
        <w:t>Auf die Einholung einer Beschwerdeantwort wurde verzichtet (Art. 322 Abs. 1 ZPO). Die Akten des vorinstanzlichen Verfahrens wurden beigezogen (act. 1-17). Das Verfahren ist spruchreif. 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