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PS120147 vom 3. Oktober 2012</w:t>
      </w:r>
    </w:p>
    <w:p>
      <w:r>
        <w:t>ZH Obergericht, 2012-10-03, DE</w:t>
      </w:r>
    </w:p>
    <w:p>
      <w:r>
        <w:rPr>
          <w:b/>
        </w:rPr>
        <w:t xml:space="preserve">Quelle: </w:t>
      </w:r>
      <w:r>
        <w:t>https://mcp.opencaselaw.ch/entscheid/zh_obergericht_PS120147</w:t>
      </w:r>
    </w:p>
    <w:p>
      <w:r>
        <w:t>FR: ZH_OBERGERICHT PS120147 du 3 octobre 2012</w:t>
      </w:r>
    </w:p>
    <w:p>
      <w:r>
        <w:t>IT: ZH_OBERGERICHT PS120147 del 3 ottobre 2012</w:t>
      </w:r>
    </w:p>
    <w:p>
      <w:pPr>
        <w:pStyle w:val="Heading2"/>
      </w:pPr>
      <w:r>
        <w:t>Erwägungen</w:t>
      </w:r>
    </w:p>
    <w:p>
      <w:r>
        <w:rPr>
          <w:b/>
        </w:rPr>
        <w:t>E. 1</w:t>
      </w:r>
    </w:p>
    <w:p>
      <w:r>
        <w:t>Mit Betreibung Nr. …, Betreibungsamt C._____, Zahlungsbefehl vom 28. Oktober 2010, verlangt die B._____ SA von A._____ die Bezahlung der KVG- Prämien Februar bis Mai 2010 von je Fr. 224.60 (= insgesamt Fr. 898.40) zuzüg- lich Zins, Spesen und Kosten. Nach einem Zustellversuch und darauffolgender Zustellung des Zahlungsbefehls an den Mitbewohner des Schuldners (act. 4 = act. 15/1) am 8. November 2010, erhob der Schuldner am 15. November 2010 Rechtsvorschlag (act. 7). Mit Verfügung vom 4. Juli 2011 hob die Gläubigerin ge- stützt auf Art. 49 des Allgemeinen Teils des Sozialversicherungsgesetzes (ATSG) den Rechtsvorschlag auf. Sie berücksichtigte in ihrem Entscheid drei Zahlungen von je Fr. 224.60 und bezifferte den noch offenen Betrag (inkl. Spesen, Zins und Kosten) mit Fr. 367.30 (act. 5). Gegen die Aufhebung des Rechtsvorschlags er- hob der Schuldner kein Rechtsmittel (act. 2 S. 2 = act. 15/2 S. 2). Am 23. November 2011 wurde dem Schuldner der Konkurs angedroht. Zugestellt wurde die Urkunde nach drei Zustellungsversuchen am 5. und 15. Dezember 2011 sowie 5. Januar 2012 am 9. Januar 2012 wiederum dem Mitbewohner des Schuldners. Vom Betreibungsbetrag, bestehend aus der Hauptforderung von Fr. 898.40 und den Spesen von Fr. 70.00 sowie dem laufenden Zins von 5% seit 14. April 2010 wurden Teilzahlungen des Schuldners von Fr. 898.40 abgezogen und Kosten bestehend aus Zahlungsbefehls- und Konkursandrohungskosten von Fr. 79.00 sowie weiteren Zustellkosten von insgesamt Fr. 58.00 hinzugezählt (act. 4 = act. 15/1).</w:t>
      </w:r>
    </w:p>
    <w:p>
      <w:r>
        <w:rPr>
          <w:b/>
        </w:rPr>
        <w:t>E. 2</w:t>
      </w:r>
    </w:p>
    <w:p>
      <w:r>
        <w:t>Bei X._____ handelt es sich gemäss Bemerkung auf dem Zahlungsbe- fehl um den Mitbewohner des Schuldners (act. 4 = act. 15/1) und gemäss Han- delsregistereintrag der D._____ Kommanditgesellschaft, bei welcher der Schuld- ner als unbeschränkt haftender Gesellschafter vermerkt ist, um deren Kommandi- tär (act. 16). Vor diesem Hintergrund darf angenommen werden, dass X._____ nicht regelmässig gegen Entgelt Personen vor den Betreibungsbehörden vertritt, sondern dies vorliegend aufgrund der konkreten Umstände tut (BSK SchKG I- ROTH/WALTHER, Art. 27 N 7; KUKO SchKG-MUSTER, Art. 27 N 3). Es ist daher von nichtgewerbsmässiger Vertretung auszugehen, auch wenn trotz des Hinweises in der Vollmacht vom 17. Januar 2012, wonach kein Honorar in Rechnung gestellt werde, dennoch eine Entschädigung für Aufwand und Spesen vereinbart wurde (act. 3 = act. 14). Nichtgewerbsmässige Vertreter müssen im Prinzip keine be- sonderen Voraussetzungen erfüllen; insbesondere besteht kein Anwaltsobligato- rium (ungeachtet der Anwendbarkeit von Art. 27 SchKG auf Aufsichtsbeschwer- deverfahren in Schuldbetreibungs- und Konkurssachen [vgl. dazu BSK SchKG I- ROTH/WALTHER, Art. 27 N 5; KUKO SchKG-MUSTER, Art. 27 N 6], regeln doch we- der Art. 27 SchKG noch Art. 68 ZPO die nichtgewerbsmässige Vertretung. Das SchKG schreibt zudem neben der gesetzlichen Vertretung in der Zwangsvollstre- ckung [Art. 68c SchKG] einzig vor, dass jeder am Betreibungsverfahren Beteiligte seine Rechte selbst wahren können muss [Art. 27 Abs. 3 SchKG; vgl. zum Gan- zen BSK SchKG I-ROTH/WALTHER, Art. 27 N 3; KUKO SchKG-MUSTER, Art. 27 N 4; STEPHANIE HRUBESCH, DIKE-Komm-ZPO, Art. 68 N 1 ff.]).</w:t>
      </w:r>
    </w:p>
    <w:p>
      <w:r>
        <w:rPr>
          <w:b/>
        </w:rPr>
        <w:t>E. 3</w:t>
      </w:r>
    </w:p>
    <w:p>
      <w:r>
        <w:t>Staatliches Handeln ist grundsätzlich kostenpflichtig. Soweit weder das SchKG selber (Art. 20a Abs. 2 Ziff. 5, Art. 67 Abs. 3, Art. 74 Abs. 3, Art. 88 Abs. 3, Art. 179 SchKG) noch die Gebührenverordnung (Art. 61 Abs. 2 GebV SchKG) Ausnahmen vorsehen, unterstehen auch die Verrichtungen der Ämter, Behörden und übrigen Organe der Zwangsvollstreckung der Gebührenpflicht. Die entspre- chenden Gebühren und Entschädigungen richten sich nach der Gebührenverord- nung zum Bundesgesetz über Schuldbetreibung und Konkurs (GebV SchKG). So- fern nichts anderes bestimmt ist, gilt das Verursacherprinzip, wonach derjenige die entstandenen Kosten zu tragen hat, der sie verursacht hat (§ 13 Abs. 1 VRG; vgl. auch Art. 13 GebV SchKG; und zum Ganzen BSK SchKG I-EMMEL, Art. 16 N 6). Zur Prüfung der auferlegten Gebühren kann die Partei gemäss Art. 3 GebV SchKG auf ihre Kosten eine detaillierte Kostenrechnung erstellen lassen, welche die entsprechenden Bestimmungen der GebV SchKG nennt. Die Kostenrech- nungsverfügung ist daraufhin mit Aufsichtsbeschwerde anfechtbar (Art. 2 GebV SchKG; BSK SchKG I-EMMEL, Art. 16 N 14). Allerdings bestimmt sich sowohl die Gebühr für den Zahlungsbefehl als auch die Konkursandrohung nach derselben Bestimmung und gestaffelt nach dem Forderungsbetrag (Art. 16 GebV SchKG und Art. 39 in Verbindung mit Art. 16 GebV SchKG). Da die Gebühr für die Kon- kursandrohung deutlich geringer ausfiel als diejenige für den Zahlungsbefehl darf vermutet werden, dass die Zahlungen des Schuldners nach Zustellung des Zah- lungsbefehls (je eine Monatsrate am 14. Dezember 2010, 27. Januar und</w:t>
      </w:r>
    </w:p>
    <w:p>
      <w:r>
        <w:t>- 7 - 16. März 2011 gemäss act. 5) und nach Aufhebung des Rechtsvorschlags durch die Gläubigerin (eine weitere Monatsrate) bei deren Festsetzung sehr wohl be- rücksichtigt worden sind. Daneben ergibt sich aus der Konkursandrohung eindeu- tig, dass der Hauptbetrag von Fr. 898.40 im Zeitpunkt der Konkursandrohung be- reits beglichen war und (lediglich) noch Spesen von Fr. 70.00, laufender Zins von 5% seit 14. April 2010 und Betreibungskosten von derzeit insgesamt Fr. 137.00 offen standen. Dass Verzugszins und Spesen noch nicht bezahlt waren, blieb denn auch sowohl vor Vorinstanz als auch im Rechtsmittel unbestritten (act. 2 S. 2 =act. 15/2 S. 2; act. 12 S. 2).</w:t>
      </w:r>
    </w:p>
    <w:p>
      <w:r>
        <w:rPr>
          <w:b/>
        </w:rPr>
        <w:t>E. 4</w:t>
      </w:r>
    </w:p>
    <w:p>
      <w:r>
        <w:t>Aus den angeführten Gründen erweist sich das Rechtsmittel im Rest- umfang als unbegründet und ist daher abzuweisen. IV. Das Verfahren vor der oberen kantonalen Aufsichtsbehörde in Schuldbetrei- bungs- und Konkurssachen ist kostenlos, wobei darauf hinzuweisen ist, dass bei bös- oder mutwilliger Beschwerdeführung Bussen, Gebühren und Auslagen aufer- legt werden können (Art. 20a Abs. 2 Ziff. 5 SchKG). Parteientschädigungen dür- fen nicht zugesprochen werden (Art. 62 Abs. 2 GebV SchKG). Der Schuldner stellte für das Beschwerdeverfahren ein Gesuch um unent- geltliche Rechtspflege (Art. 119 Abs. 5 ZPO). Infolge der Kostenlosigkeit des Ver- fahrens wird der Antrag auf unentgeltliche Rechtspflege gegenstandslos, und das Gesuch ist entsprechend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