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PS120088 vom 21. Mai 2012</w:t>
      </w:r>
    </w:p>
    <w:p>
      <w:r>
        <w:t>ZH Obergericht, 2012-05-21, DE</w:t>
      </w:r>
    </w:p>
    <w:p>
      <w:r>
        <w:rPr>
          <w:b/>
        </w:rPr>
        <w:t xml:space="preserve">Quelle: </w:t>
      </w:r>
      <w:r>
        <w:t>https://mcp.opencaselaw.ch/entscheid/zh_obergericht_PS120088</w:t>
      </w:r>
    </w:p>
    <w:p>
      <w:r>
        <w:t>FR: ZH_OBERGERICHT PS120088 du 21 mai 2012</w:t>
      </w:r>
    </w:p>
    <w:p>
      <w:r>
        <w:t>IT: ZH_OBERGERICHT PS120088 del 21 maggio 2012</w:t>
      </w:r>
    </w:p>
    <w:p>
      <w:pPr>
        <w:pStyle w:val="Heading2"/>
      </w:pPr>
      <w:r>
        <w:t>Erwägungen</w:t>
      </w:r>
    </w:p>
    <w:p>
      <w:r>
        <w:rPr>
          <w:b/>
        </w:rPr>
        <w:t>E. 1</w:t>
      </w:r>
    </w:p>
    <w:p>
      <w:r>
        <w:t>Am 3. Mai 2012 wurde über die Schuldnerin der Konkurs eröffnet (act. 6). Mit rechtzeitig eingereichter Beschwerde beantragte sie die Aufhebung des Konkurses, und stellte ein Gesuch um Erteilung der aufschiebenden Wir- kung (act. 2). Diesem Gesuch wurde mit Verfügung vom 15. Mai 2012 ent- sprochen (act. 10).</w:t>
      </w:r>
    </w:p>
    <w:p>
      <w:r>
        <w:rPr>
          <w:b/>
        </w:rPr>
        <w:t>E. 2</w:t>
      </w:r>
    </w:p>
    <w:p>
      <w:r>
        <w:t>a) Gemäss Art. 174 Abs. 2 SchKG kann die Konkurseröffnung im Be- schwerdeverfahren aufgehoben werden, wenn der Schuldner mit der Einle- gung des Rechtsmittels seine Zahlungsfähigkeit glaubhaft macht und durch Urkunden einen der drei gesetzlich vorgesehenen Konkurshinderungsgrün- de (Tilgung, Hinterlegung oder Gläubigerverzicht) nachweist. Neue Behaup- tungen und Urkundenbeweise über konkurshindernde Tatsachen sind im Beschwerdeverfahren unbeschränkt zugelassen, unabhängig davon, ob sie vor oder nach dem erstinstanzlichen Entscheid ergangen sind. b) Seit dem 1. Januar 2011 ist das gegen Konkurseröffnungen zu ergreifen- de Rechtsmittel die Beschwerde (Art. 319 lit. a i.V.m. Art. 309 Ziff. 6 ZPO). Sie ist innert einer Frist von 10 Tagen (Art. 321 Abs. 2 ZPO) einzureichen und abschliessend zu begründen. Das bedeutet, dass der Schuldner sowohl seine Zahlungsfähigkeit als auch einen der drei Konkurshinderungsgründe innert der Rechtsmittelfrist glaubhaft zu machen bzw. mit Urkunden nachzu- weisen hat. Neue Behauptungen und Urkundenbeweise über konkurshin- dernde Tatsachen kann er innert der Rechtsmittelfrist aber selbst dann er- heben, wenn sie nach dem erstinstanzlichen Entscheid ergangen sind. Nachfristen sind hingegen keine zu gewähren (vgl. dazu BGE 136 III 294).</w:t>
      </w:r>
    </w:p>
    <w:p>
      <w:r>
        <w:rPr>
          <w:b/>
        </w:rPr>
        <w:t>E. 3</w:t>
      </w:r>
    </w:p>
    <w:p>
      <w:r>
        <w:t>Die Schuldnerin hat die Konkursforderung beim Betreibungsamt C._____ bezahlt (act. 5/3). Ferner hat sie den von der Gläubigerin bei der Vorinstanz geleisteten Barvorschuss (zur Deckung der erstinstanzlichen Verfahrenskos- ten und der Kosten des Konkursamtes) von Fr. 1'800.- bei der Obergerichts- kasse hinterlegt (act. 5/5). Diese Zahlungen leistete die Schuldnerin innert laufender Rechtsmittelfrist. Damit ist eine konkurshindernde Tatsache im</w:t>
      </w:r>
    </w:p>
    <w:p>
      <w:r>
        <w:t>- 3 - Sinne von Art. 172 Ziff. 3 SchKG dargetan. Auch für die zweitinstanzliche Gerichtsgebühr in der Höhe von Fr. 750.- leistete die Schuldnerin einen Bar- vorschuss (act. 5/4).</w:t>
      </w:r>
    </w:p>
    <w:p>
      <w:r>
        <w:rPr>
          <w:b/>
        </w:rPr>
        <w:t>E. 4</w:t>
      </w:r>
    </w:p>
    <w:p>
      <w:r>
        <w:t>Nebst dem Nachweis des Eintrittes eines Konkurshinderungsgrundes hat der Schuldner im Beschwerdeverfahren seine Zahlungsfähigkeit glaubhaft zu machen. Zahlungsfähigkeit bedeutet, dass ausreichend liquide Mittel vor- handen sind, mit welchen die Gläubiger bei Fälligkeit ihrer Forderungen be- friedigt werden können. Der Schuldner hat deshalb aufzuzeigen, dass er in der Lage ist, seinen laufenden Verpflichtungen nachzukommen und in ab- sehbarer Zeit auch die bestehenden Schulden zu tilgen. Bloss vorüberge- hende Zahlungsschwierigkeiten lassen den Schuldner noch nicht als zah- lungsunfähig erscheinen. Anders verhält es sich jedoch, wenn keine wesent- lichen Anhaltspunkte für eine Verbesserung seiner finanziellen Situation zu erkennen sind und der Schuldner auf unabsehbare Zeit als illiquid erscheint.</w:t>
      </w:r>
    </w:p>
    <w:p>
      <w:r>
        <w:rPr>
          <w:b/>
        </w:rPr>
        <w:t>E. 5</w:t>
      </w:r>
    </w:p>
    <w:p>
      <w:r>
        <w:t>a) Wesentlichen Aufschluss über das Zahlungsverhalten und die finanzielle Lage eines Schuldners gibt insbesondere das Betreibungsregister. b) Im Zeitraum vom 1. Januar 2010 bis 11. Mai 2012 wurden 4 Betreibungen im Betrag von Fr. 27'259.95 eingeleitet (act. 5/6). Die Schuldnerin hat nebst der Konkursforderung (Betreibungs-Nr. …) auch die anderen Betreibungs- ausstände getilgt, wobei zwei weitere Betreibungen auch die Beschwerde- gegnerin betrafen (Betreibungs-Nr. … und …). Per 11. Mai 2012 wies die Beschwerdegegnerin zu ihren Gunsten einen Saldo von Fr. 17'159.35 (ins- gesamt Kostenvorschuss von Fr. 1'800.- und aktueller Rechnung vom 31. März 2012) aus (vgl. act. 5/7). Vom Betreibungsamt wurden an die Gläubi- gerin Fr. 12'807.30 (Konkursforderung) abgeliefert (act. 5/3), Fr. 3'117.70 bezahlte die Schuldnerin zugunsten der B._____ am Postschalter ein (act. 5/8) und Fr. 1'800.- hinterlegte sie ─ wie bereits erwähnt ─ bei der Oberge- richtskasse (act. 5/5). Insgesamt bezahlte sie damit Fr. 17'725.-. Demnach bestehen gegenüber der Beschwerdegegnerin keine Ausstände mehr. Zum Nachweis der Zahlung der Betreibungsforderung der Ausgleichskasse reich- te die Schuldnerin ein Rückzugsbegehren der Gläubigerin ein (act. 5/9).</w:t>
      </w:r>
    </w:p>
    <w:p>
      <w:r>
        <w:t>- 4 - c) In der Bilanz per 31. Dezember 2011 wird ein Reingewinn von Fr. 1'215.92 deklariert (act. 5/10), der ─ wie der letztjährige Gewinn ─ zur Reduktion des Verlustvortrages verwendet wurde (act. 5/10, 5/12). Kredito- ren werden im Betrag von Fr. 15'289.30 (Fr. 7'793.20 zuzügl. MWST Fr. 7'496.10) ausgewiesen (act. 5/10). Da die Bilanz immer auf einen be- stimmten Stichtag erstellt wird, bleibt unberücksichtigt, dass inzwischen die Kreditoren im engeren Sinne (Fr. 7'793.20) inzwischen bezahlt worden sind. Jedoch ist zu berücksichtigen, dass die Schuldnerin inzwischen den MWST- Ausstand auf Fr. 1'799.95 reduziert hat (5/11). Aktuell stehen Kreditoren von Fr. 16'628.80 (die Rechnung von D._____ ist von Fr. 2'051.- auf Fr. 2'052.- zu korrigieren, vgl. act. 5/14) Debitoren von Fr. 42'004.95 gegenüber (act. 5/13). Aus den eingereichten Unterlagen ergibt sich somit, dass die Schuldnerin zahlungsfähig ist und ihren laufenden Verpflichtung nachzukommen vermag. Offensichtlich hat es sich nur um vorübergehende Zahlungsschwierigkeiten gehandelt. Zu bemerken ist noch, dass der einzige Gesellschafter auch be- reit ist, der Firma ─ falls nötig ─ ein Darlehen im Betrag von Fr. 15'000.- mit einer Rangrücktrittserklärung zu gewähren (act. 5/15).</w:t>
      </w:r>
    </w:p>
    <w:p>
      <w:r>
        <w:rPr>
          <w:b/>
        </w:rPr>
        <w:t>E. 6</w:t>
      </w:r>
    </w:p>
    <w:p>
      <w:r>
        <w:t>Damit erweist sich die Beschwerde als begründet. Das vorinstanzliche Kon- kurserkenntnis ist aufzuheben.</w:t>
      </w:r>
    </w:p>
    <w:p>
      <w:r>
        <w:rPr>
          <w:b/>
        </w:rPr>
        <w:t>E. 7</w:t>
      </w:r>
    </w:p>
    <w:p>
      <w:r>
        <w:t>Die Kosten beider Instanzen hat die Schuldnerin zu tragen, da sie durch die verspätete Zahlung das Verfahren veranlasst hat. Die Kammer vertritt die Auffassung, dass die Gebührenverordnung zum SchKG (GebVO SchKG, AS 2010 3053) seit dem 1. Januar 2011 insoweit keine gesetzliche Grundlage mehr hat, als sie in ihrem 4. Kapitel (Art. 48 ff.) Gerichtsgebühren (nämlich für die im summarischen Verfahren zu führenden gerichtlichen Angelegenheiten) festsetzt. Entscheide über Konkurseröffnun- gen sind gerichtliche Angelegenheiten des Schuldbetreibungs- und Konkurs- rechts (im Sinne von Art. 1 lit. c ZPO), weshalb diese Verfahren von der ZPO geregelt werden und die Tarife der kantonalen Gebühren, im Kanton</w:t>
      </w:r>
    </w:p>
    <w:p>
      <w:r>
        <w:t>- 5 - Zürich jene der Gebührenverordnung des Obergerichtes (GebVO OG, LS 211.11), zur Anwendung gelangen (Art. 96 ZPO). Es ist deshalb nachfol- gend nicht eine "Spruchgebühr" (im Sinne von Art. 48 GebVO SchKG), son- dern eine Gerichtsgebühr im Sinne der GebVO OG festzusetzen (vgl. dazu www.gerichte-zh.ch/entscheide/entscheide-neue-zpo.html: Kosten gerichtli- cher Schk-Sachen). In Anwendung dieser obergerichtlichen Gebührenverordnung ist die Ge- richtsgebühr für das Beschwerdeverfahren auf Fr. 750.- anzusetzen.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