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PS120064 vom 24. April 2012</w:t>
      </w:r>
    </w:p>
    <w:p>
      <w:r>
        <w:t>ZH Obergericht, 2012-04-24, DE</w:t>
      </w:r>
    </w:p>
    <w:p>
      <w:r>
        <w:rPr>
          <w:b/>
        </w:rPr>
        <w:t xml:space="preserve">Quelle: </w:t>
      </w:r>
      <w:r>
        <w:t>https://mcp.opencaselaw.ch/entscheid/zh_obergericht_PS120064</w:t>
      </w:r>
    </w:p>
    <w:p>
      <w:r>
        <w:t>FR: ZH_OBERGERICHT PS120064 du 24 avril 2012</w:t>
      </w:r>
    </w:p>
    <w:p>
      <w:r>
        <w:t>IT: ZH_OBERGERICHT PS120064 del 24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tt. März 2012 wurde über die Schuldnerin der Konkurs eröffnet (act. 2 = act. 5/8). Mit rechtzeitig eingereichter Beschwerde beantragt die Schuldnerin die Aufhebung des Konkurses, und stellt ein Gesuch um Erteilung der aufschieben- den Wirkung (act. 1). Letztere wurde ihr mit Verfügung der Kammer vom 2. April 2012 einstweilen verweigert, da die Schuldnerin die Konkursforderung weder ge- tilgt resp. hinterlegt hatte noch ein Verzicht der Gläubigerin vorlag (act. 8). Am</w:t>
      </w:r>
    </w:p>
    <w:p>
      <w:r>
        <w:rPr>
          <w:b/>
        </w:rPr>
        <w:t>E. 4</w:t>
      </w:r>
    </w:p>
    <w:p>
      <w:r>
        <w:t>Ausgangsgemäss sind die Spruchgebühren beider Instanzen der Schuldne- rin aufzuerlegen (Art. 106 ZPO). Der Gläubigerin ist mangels Umtrieben im Be- schwerdeverfahren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