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PS120004 vom 23. Februar 2012</w:t>
      </w:r>
    </w:p>
    <w:p>
      <w:r>
        <w:t>ZH Obergericht, 2012-02-23, DE</w:t>
      </w:r>
    </w:p>
    <w:p>
      <w:r>
        <w:rPr>
          <w:b/>
        </w:rPr>
        <w:t xml:space="preserve">Quelle: </w:t>
      </w:r>
      <w:r>
        <w:t>https://mcp.opencaselaw.ch/entscheid/zh_obergericht_PS120004</w:t>
      </w:r>
    </w:p>
    <w:p>
      <w:r>
        <w:t>FR: ZH_OBERGERICHT PS120004 du 23 février 2012</w:t>
      </w:r>
    </w:p>
    <w:p>
      <w:r>
        <w:t>IT: ZH_OBERGERICHT PS120004 del 23 febbraio 2012</w:t>
      </w:r>
    </w:p>
    <w:p>
      <w:pPr>
        <w:pStyle w:val="Heading2"/>
      </w:pPr>
      <w:r>
        <w:t>Erwägungen</w:t>
      </w:r>
    </w:p>
    <w:p>
      <w:r>
        <w:rPr>
          <w:b/>
        </w:rPr>
        <w:t>E. 1</w:t>
      </w:r>
    </w:p>
    <w:p>
      <w:r>
        <w:t>Im Konkurs über den Beschwerdeführer verzichtete die Mehrheit der Konkursgläubiger auf die Geltendmachung von drei Rechtsansprüchen der Masse mit den Inventar-Nrn. III./…, III./… und III./…. Einige Gläubiger, darunter auch der Beschwerdegegner, liessen sich diese Ansprüche am 2. September 2011 gemäss Art. 260 SchKG zur Geltendmachung abtreten (act. 6/1-3). In der Folge gelangte der Beschwerdegegner mit Schreiben vom 5. September 2011 an das Kon- kursamt D._____ und verlangte die Abklärung und Erteilung der zur Geltendma- chung des Anspruches notwendigen Auskünfte sowie die Aushändigung der da- mit im Zusammenhang stehenden Unterlagen (act. 4/4). Mit Schreiben vom 9. September 2011 liess das Konkursamt D._____ dem Beschwerdegegner die geforderten Angaben und die sich in ihrem Besitze befindlichen Unterlagen zu- kommen, soweit sie jeweils vorhanden waren. Im Übrigen erteilte sie ihm für die noch einzuholenden Informationen und Unterlagen eine Vollmacht im Sinne einer Hilfsperson (act. 6/5).</w:t>
      </w:r>
    </w:p>
    <w:p>
      <w:r>
        <w:rPr>
          <w:b/>
        </w:rPr>
        <w:t>E. 2</w:t>
      </w:r>
    </w:p>
    <w:p>
      <w:r>
        <w:t>Am 26. September 2011 erhob der Beschwerdeführer beim Bezirksge- richt Winterthur als untere kantonale Aufsichtsbehörde in Schuldbetreibungs- und Konkurssachen Beschwerde und beantragte, die vom besagten Konkursamt an den Beschwerdegegner erteilte Vollmacht und allfällige Rechtsgeschäfte und Ab- gaben von Erklärungen, die dieser auf Grund der erteilten Vollmacht vorgenom- men habe, seien zu widerrufen (act. 1). Mit Beschluss vom 21. Dezember 2011 wies das Bezirksgericht Winterthur die Beschwerde ab, soweit es auf sie eintrat (act. 9 = act. 12).</w:t>
      </w:r>
    </w:p>
    <w:p>
      <w:r>
        <w:rPr>
          <w:b/>
        </w:rPr>
        <w:t>E. 3</w:t>
      </w:r>
    </w:p>
    <w:p>
      <w:r>
        <w:t>Verzichtet die Gesamtheit der Gläubiger im Konkursverfahren auf die Geltendmachung von Rechtsansprüchen der Masse, so ist jeder Gläubiger be-</w:t>
      </w:r>
    </w:p>
    <w:p>
      <w:r>
        <w:t>- 4 - rechtigt, die Abtretung dieser Ansprüche zu verlangen (Art. 260 Abs. 1 SchKG). Die Abtretung verleiht dem Gläubiger die Prozessführungsbefugnis, er wird dadurch aber nicht Träger des zugrunde liegenden Anspruchs (BSK SchKG II- BERTI, 2. Aufl. 2010, Art. 260 N 32). Der Abtretungsgläubiger klagt als Prozess- standschafter; er tritt in die verfahrensrechtliche Stellung der Konkursmasse ein (BSK SchKG II-BERTI, 2. Aufl. 2010, Art. 260 N 56). Mit der Prozessführungsbe- fugnis kommt dem Abtretungsgläubiger zwangsläufig auch das Recht auf Ertei- lung der zur Durchsetzung des Anspruches notwendigen Auskünfte zu (BSK SchKG II-BERTI, 2. Aufl. 2010, Art. 260 N 36). Nicht nur die Konkursverwaltung, auch Dritte haben dem Abtretungsgläubiger die Einsicht in die einschlägigen Un- terlagen zu gewähren und diese allenfalls auszuhändigen.</w:t>
      </w:r>
    </w:p>
    <w:p>
      <w:r>
        <w:rPr>
          <w:b/>
        </w:rPr>
        <w:t>E. 5</w:t>
      </w:r>
    </w:p>
    <w:p>
      <w:r>
        <w:t>Daraus folgt, dass der Abtretungsgläubiger im Rahmen des abgetrete- nen Anspruches für die Durchsetzung dieses Auskunftsrechts in rechtlicher Hin- sicht nicht auf die Erteilung einer separaten Vollmacht durch die Konkursverwal- tung angewiesen ist. Er wird bereits mit der Abtretung zur Einholung der notwen- digen Informationen und Auskünfte ermächtigt und agiert insoweit nicht als Hilfs- person der Konkursverwaltung, sondern als selbständig Berechtigter. Wird – wie vorliegend – von der Konkursverwaltung dennoch eine Vollmacht erteilt, so stellt diese keinen konstitutiven Rechtsakt dar. Damit wird vielmehr das (bereits beste- hende) Auskunfts- und Einsichtrecht des Abtretungsgläubigers gegenüber allfällig rechtsunkundigen Dritten transparent gemacht. Die Bekräftigung dieser Rechte mittels einer Vollmacht schadet jedenfalls nicht, weshalb das Vorgehen der Kon- kursamtes D._____ an sich nicht zu beanstanden ist. Insofern erweist sich die Beschwerde als unbegründet.</w:t>
      </w:r>
    </w:p>
    <w:p>
      <w:r>
        <w:rPr>
          <w:b/>
        </w:rPr>
        <w:t>E. 6</w:t>
      </w:r>
    </w:p>
    <w:p>
      <w:r>
        <w:t>Problematisch ist hingegen derjenige Passus in der Vollmacht, mit dem dem Bevollmächtigten die Befugnis erteilt wird, „notfalls die Machtmittel im Rah- men von SchKG 222 in Anspruch zu nehmen“. Art. 222 Abs. 1 und 2 SchKG sta- tuieren die strafbewehrte Ablieferungspflicht des Schuldners bzw. der mit ihm im gemeinsamen Haushalt lebenden Personen, Abs. 3 verpflichtet den Schuldner bzw. seine Angehörigen, Räumlichkeiten und Behältnisse zu öffnen und ermäch- tigt den Beizug der Polizei, Abs. 4 verpflichtet Dritte, die über Vermögensgegen-</w:t>
      </w:r>
    </w:p>
    <w:p>
      <w:r>
        <w:t>- 5 - stände oder Guthaben verfügen, bei Straffolgen zur gleichen Auskunft wie den Schuldner und schliesslich sieht Abs. 5 vor, dass das Konkursamt die Betroffenen auf ihre Pflichten und die Straffolgen ausdrücklich aufmerksam machen muss. In der Lehre finden sich zur Frage der Abtretung der Machtbefugnis gemäss Art. 222 SchKG kaum konkrete Ausführungen und soweit ersichtlich fehlen auch Präjudizien. Liessen sich die hoheitlichen Machtbefugnisse ohne weiteres an Pri- vate – hier ein Abtretungsgläubiger – delegieren, so würde dies insbesondere da- zu führen, dass Private den Strafbarkeitshinweis gemäss Art. 222 Abs. 6 SchKG (vgl. auch die gleiche Problematik von Art. 91 Abs. 6 SchKG), der eine objektive Strafbarkeitsbedingung darstellt (vgl. BSK SchKG II-LUSTENBERGER, N. 17 zu Art. 222; BSK SchKG I-VONDER MÜHLL, N. 40 zu Art. 92), machen könnten und müss- ten. Ausserdem wären sie ermächtigt, die Polizei mit den in Abs. 3 vorgesehen Aufgaben zu betrauen. Staatliche Zwangsausübung kann nicht ohne gesetzliche Grundlage an Private delegiert werden und im Rahmen des SchKG ergangene, entgegenstehende Anordnungen sind nichtig (Art. 22 SchKG). Vergleichsweise ist der Blick etwa auf die Schiedsgerichte, d.h. gemäss Schiedsvereinbarung der Parteien eingesetzte Privatgerichte (vgl. KuKo ZPO-DASSER, N. 3 vor Art. 353- 399) zu richten, die weder Strafen ausfällen noch Zwang ausüben können (HANS REISER, Strafandrohung gemäss Art. 292 StGB durch Schiedsgerichte?, in: Rie- mer/Kuhn/Vock/Gehri (Hrsg.), Schweizerisches und internationales Zwangsvoll- streckungsrecht, FS für Karl Spühler, Zürich 2005, S. 265 ff., S. 270). Dass sie die erforderlichen Strafandrohungen bei Zeugeneinvernahmen (Art. 307 StGB) den- noch machen dürfen, geht auf die ausdrückliche Vorschrift in Art. 309 lit. a StGB zurück. In BSK StGB II-RIEDO/BONER (N. 41 zu Art. 292) wird darauf hingewiesen, dass auch juristische Personen des Privatrechts im Zusammenhang mit von ihnen zu erlassenden Verfügungen Ungehorsamsstrafen anordnen können, allerdings ist dies nur dort zulässig, wo eine genügende gesetzliche Delegation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