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PS110240 vom 29. Februar 2012</w:t>
      </w:r>
    </w:p>
    <w:p>
      <w:r>
        <w:t>ZH Obergericht, 2012-02-29, DE</w:t>
      </w:r>
    </w:p>
    <w:p>
      <w:r>
        <w:rPr>
          <w:b/>
        </w:rPr>
        <w:t xml:space="preserve">Quelle: </w:t>
      </w:r>
      <w:r>
        <w:t>https://mcp.opencaselaw.ch/entscheid/zh_obergericht_PS110240</w:t>
      </w:r>
    </w:p>
    <w:p>
      <w:r>
        <w:t>FR: ZH_OBERGERICHT PS110240 du 29 février 2012</w:t>
      </w:r>
    </w:p>
    <w:p>
      <w:r>
        <w:t>IT: ZH_OBERGERICHT PS110240 del 29 febbraio 2012</w:t>
      </w:r>
    </w:p>
    <w:p>
      <w:pPr>
        <w:pStyle w:val="Heading2"/>
      </w:pPr>
      <w:r>
        <w:t>Erwägungen</w:t>
      </w:r>
    </w:p>
    <w:p>
      <w:r>
        <w:rPr>
          <w:b/>
        </w:rPr>
        <w:t>E. 1</w:t>
      </w:r>
    </w:p>
    <w:p>
      <w:r>
        <w:t>In der Betreibung Nr. … über Fr. 400'000.– stellte das Betreibungsamt der Be- treibungsgläubigerin A._____ AG mit "Kostenrechnung und Verfügung" Nr. … vom 9. November 2011 Gebühren und Auslagen von Fr. 203.– in Rechnung (act. 1 Anhang, act. 13/3). Dagegen erhob die Betreibungsgläubigerin beim Bezirksgericht Hinwil als unterer Aufsichtsbehörde über die Betreibungsämter Beschwerde (act. 1). Sie beantragte: "Die Kostenrechnung … sei von Fr. 203.– auf Fr. 195.– zu reduzieren. Es sei der amtliche Untersuch anzuordnen. Die missbräuchlichen Gebühren seien einzuziehen und einer gemeinnützi- gen Institution zuzuführen. Alles unter Kosten- &amp; Entschädigungsfolge zu Lasten der Staatskasse." Die Betreibungsgläubigerin beanstandete, dass das Betreibungsamt Fr. 8.– Zu- stellkosten in Rechnung gestellt habe, obwohl es den Zahlungsbefehl mittels Ab- holungseinladung durch den Betriebenen (Beschwerdegegner) auf dem Amt habe abholen lassen. Zudem machte sie geltend, dass das Betreibungsamt sehr oft "solche missbräuchlichen Kosten" verlange, weshalb es angebracht sei, mittels amtlichen Untersuchs die unberechtigten Einnahmen einzuziehen und einer ge- meinnützigen Institution zuzuführen. Im Laufe der ihm vom Bezirksgericht angesetzten Vernehmlassungsfrist setzte das Betreibungsamt den beanstandeten, der Betreibungsgläubigerin in Rechnung gestellten Betrag von Fr. 203.– auf Fr. 195.– herab (act. 4 und 5), worauf das Be- zirksgericht das Beschwerdeverfahren mit Beschluss vom 21. November 2011 als gegenstandslos geworden abschrieb. Es erhob weder Kosten, noch sprach es Parteientschädigungen zu (act. 10).</w:t>
      </w:r>
    </w:p>
    <w:p>
      <w:r>
        <w:rPr>
          <w:b/>
        </w:rPr>
        <w:t>E. 2</w:t>
      </w:r>
    </w:p>
    <w:p>
      <w:r>
        <w:t>Zusammen mit der Beschwerde gegen den vorinstanzlichen Entscheid bean- tragt die Beschwerdeführerin, es sei die untere Aufsichtsbehörde zu rügen und zu ermahnen, ihre amtlichen Aufsichtspflichten zu erfüllen. Objektive Anhaltspunkte für die Berechtigung des gegen die Vorinstanz erhobe- nen Vorwurfes einer Verletzung der Aufsichtspflicht liegen nicht vor. Durch das Verfahren wurde dem Betreibungsamt im Übrigen in Erinnerung gerufen, was für Kosten nach der bundesgerichtlichen Rechtsprechung zu erheben sind, wenn der Schuldner einen Zahlungsbefehl nach vorangegangener Einladung auf dem Be- treibungsamt abholt (BGer 5A_732/2009 vom 4. Februar 2010 [= BGE 136 III 155]). Die gegen die Vorinstanz erhobene Aufsichtsbeschwerde ist ihrem Wesen nach sodann eine blosse "Anzeige", mit der auf die Pflichtverletzung eines Justiz- funktionärs hingewiesen werden kann. Ein subjektives Recht auf Disziplinierung des Verzeigten steht dem Anzeigeerstatter nicht zu (vgl. Hauser/Schweri, Kom- mentar zum zürcherischen Gerichtsverfassungsgesetz, Zürich 2002, § 108</w:t>
      </w:r>
    </w:p>
    <w:p>
      <w:r>
        <w:t>- 4 - N 36 ff., insbes. N 43 und 45). Welche Massnahmen gegebenenfalls wem gegen- über zu ergreifen sind und in welcher Form, ist hier deshalb nicht weiter zu erör- tern. III. In kantonalen betreibungsrechtlichen Beschwerdeverfahren werden grundsätzlich keine Kosten erhoben; eine Parteientschädigung darf nicht zugesprochen werden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