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PS110239 vom 18. April 2012</w:t>
      </w:r>
    </w:p>
    <w:p>
      <w:r>
        <w:t>ZH Obergericht, 2012-04-18, DE</w:t>
      </w:r>
    </w:p>
    <w:p>
      <w:r>
        <w:rPr>
          <w:b/>
        </w:rPr>
        <w:t xml:space="preserve">Quelle: </w:t>
      </w:r>
      <w:r>
        <w:t>https://mcp.opencaselaw.ch/entscheid/zh_obergericht_PS110239</w:t>
      </w:r>
    </w:p>
    <w:p>
      <w:r>
        <w:t>FR: ZH_OBERGERICHT PS110239 du 18 avril 2012</w:t>
      </w:r>
    </w:p>
    <w:p>
      <w:r>
        <w:t>IT: ZH_OBERGERICHT PS110239 del 18 aprile 2012</w:t>
      </w:r>
    </w:p>
    <w:p>
      <w:pPr>
        <w:pStyle w:val="Heading2"/>
      </w:pPr>
      <w:r>
        <w:t>Erwägungen</w:t>
      </w:r>
    </w:p>
    <w:p>
      <w:r>
        <w:rPr>
          <w:b/>
        </w:rPr>
        <w:t>E. 1</w:t>
      </w:r>
    </w:p>
    <w:p>
      <w:r>
        <w:t>Am 29. November 2011 wurde über die Schuldnerin der Konkurs eröffnet (act. 7). Mit rechtzeitig eingereichter Beschwerde beantragte sie die Aufhe- bung des Konkurses und stellte ein Gesuch um Erteilung der aufschieben- den Wirkung (act. 1). Diesem Gesuch wurde in der Folge entsprochen (Be- schluss vom 16. Dezember 2011, act. 15).</w:t>
      </w:r>
    </w:p>
    <w:p>
      <w:r>
        <w:rPr>
          <w:b/>
        </w:rPr>
        <w:t>E. 2</w:t>
      </w:r>
    </w:p>
    <w:p>
      <w:r>
        <w:t>a) Mit Beschluss vom 16. Dezember 2011 setzte die Kammer den Be- schwerdeentscheid aus und überwies die Akten dem Bezirksgericht Zürich als untere Aufsichtsbehörde über die Betreibungsämter zum Entscheid über die Gültigkeit des Zahlungsbefehls bzw. der Konkursandrohung (act. 15). Im Beschluss erwog die Kammer u.a., zweifellos sei C._____, welche die be- treffenden Betreibungsurkunden (Zahlungsbefehl und Konkursandrohung) entgegen genommen habe, nicht im Handelsregister der Schuldnerin einge- tragen. Eine Ersatzzustellung gemäss Art. 65 Abs. 2 SchKG sei aber nur zu- lässig, wenn die Zustellung an einen Vertreter gemäss Art. 65 Abs. 1 Ziff.2 SchKG erfolglos versucht worden sei. Ob dies vorliegend passiert sei, gehe aus den Akten nicht hervor. Sollte es zutreffen, dass C._____ nie bzw. im Zeitpunkt der Unterzeichnung der Betreibungsurkunden nicht Angestellte (Sekretärin) der Schuldnerin gewesen sei, wäre u.U. auch die Ersatzzustel- lung nicht rechtmässig erfolgt. Es werde Sache der Aufsichtsbehörde sein, zu klären, ob Zahlungsbefehl und Konkursandrohung nichtig seien oder ob korrekt zugestellt worden sei (act. 15 Erw. 3 b-c). Die Aufsichtsbehörde stellte mit Beschluss vom 11. April 2012 fest, dass die Zustellung des Zahlungsbefehls vom 13./15. September 2011 und die Kon- kursandrohung vom 6. Oktober 2011 in der Betreibung Nr. … des Betrei- bungsamtes D._____ nichtig seien (act. 20 S. 13). b) Damit ein Konkurs eröffnet werden kann, muss u.a. ein gültiger Zah- lungsbefehl und eine gültige Konkursandrohung vorliegen (Art. 88 Abs. 1 bzw. Art. 166 Abs. 1 SchKG). Da die Aufsichtbehörde mit Beschluss vom 11. April 2012 die Nichtigkeit der dem Konkursbegehren zugrunde liegenden</w:t>
      </w:r>
    </w:p>
    <w:p>
      <w:r>
        <w:t>- 3 - Betreibungsurkunden (Zahlungsbefehl und Konkursandrohung) festgestellt hat, ist die Konkurseröffnung vom 29. November 2011 aufzuheben. Die Be- schwerde erweist sich damit als begründet.</w:t>
      </w:r>
    </w:p>
    <w:p>
      <w:r>
        <w:rPr>
          <w:b/>
        </w:rPr>
        <w:t>E. 3</w:t>
      </w:r>
    </w:p>
    <w:p>
      <w:r>
        <w:t>Von der Erhebung von Kosten für das Konkurseröffnungsverfahren ist abzu- sehen, da die Gläubigerin das Konkursbegehren im Vertrauen auf die Gül- tigkeit der vom Betreibungsamt ausgestellten Konkursandrohung gestellt hat. Die beim Konkursamt E._____ entstandenen Verfahrenskosten sind auf die Staatskasse zu nehmen. Parteientschädigungen sind keine zuzuspre- chen. Der Staat schuldet in solchen Fällen keine Entschädigung und eine Partei wird nur in dem Verhältnis entschädigungspflichtig, in welchem ihr Kosten auferlegt werden (Art. 106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