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PS110225 vom 13. Dezember 2011</w:t>
      </w:r>
    </w:p>
    <w:p>
      <w:r>
        <w:t>ZH Obergericht, 2011-12-13, DE</w:t>
      </w:r>
    </w:p>
    <w:p>
      <w:r>
        <w:rPr>
          <w:b/>
        </w:rPr>
        <w:t xml:space="preserve">Quelle: </w:t>
      </w:r>
      <w:r>
        <w:t>https://mcp.opencaselaw.ch/entscheid/zh_obergericht_PS110225</w:t>
      </w:r>
    </w:p>
    <w:p>
      <w:r>
        <w:t>FR: ZH_OBERGERICHT PS110225 du 13 décembre 2011</w:t>
      </w:r>
    </w:p>
    <w:p>
      <w:r>
        <w:t>IT: ZH_OBERGERICHT PS110225 del 13 dicembre 2011</w:t>
      </w:r>
    </w:p>
    <w:p>
      <w:pPr>
        <w:pStyle w:val="Heading2"/>
      </w:pPr>
      <w:r>
        <w:t>Erwägungen</w:t>
      </w:r>
    </w:p>
    <w:p>
      <w:r>
        <w:rPr>
          <w:b/>
        </w:rPr>
        <w:t>E. 1</w:t>
      </w:r>
    </w:p>
    <w:p>
      <w:r>
        <w:t>a) Am 27. Mai 2011 vollzog das Betreibungsamt X._____ in der Be- treibung Nr. … die Pfändung Nr. … und pfändete die das monatliche Existenzmi- nimum von Fr. 2'500.10 übersteigenden Einkünfte des Beschwerdeführers, zu- züglich 13. Monatslohn, allfällige Gratifikationen und sonstige Vergütungen ir- gendwelcher Art, bis zur Deckung der betriebenen Forderungen in der Pfän- dungsurkunde nebst Zins und Kosten, längstens auf die Dauer eines Jahres seit dem massgebenden Pfändungsvollzug, d.h. bis zum 27. Mai 2012 (act. 6/4/1). Am</w:t>
      </w:r>
    </w:p>
    <w:p>
      <w:r>
        <w:rPr>
          <w:b/>
        </w:rPr>
        <w:t>E. 3</w:t>
      </w:r>
    </w:p>
    <w:p>
      <w:r>
        <w:t>Juni 2011 nahm das Betreibungsamt X._____ eine Revision der Einkommens- pfändung vor und setzte das Existenzminimum neu auf Fr. 1'279.– herunter (act. 6/3/1 und act. 6/7). b) Der Beschwerdeführer focht die Revision der Einkommenspfän- dung vom 3. Juni 2011 mit Beschwerde vom 14. August 2011 (Poststempel) bei der Vorinstanz an (act. 1). Mit Eingabe vom 20. September 2011, zur Post gege- ben am 22. September 2011, reichte der Beschwerdeführer bei der Vorinstanz ei- ne Ergänzung seiner Beschwerde mit diversen Beilagen ein (act. 9 und 10). Die Vorinstanz wies die Beschwerde mit Beschluss vom 9. November 2011 ab und überwies die Eingabe des Beschwerdeführers vom 20. September 2011 inklusive Beilagen als Revisionsgesuch an das Betreibungsamt X._____ (act. 11 = act. 14). c) Gegen den vorinstanzlichen Beschluss vom 9. November 2011 erhob der Beschwerdeführer rechtzeitig Beschwerde (act. 12/1 und act. 13) und stellte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