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PS110222 vom 12. Dezember 2011</w:t>
      </w:r>
    </w:p>
    <w:p>
      <w:r>
        <w:t>ZH Obergericht, 2011-12-12, DE</w:t>
      </w:r>
    </w:p>
    <w:p>
      <w:r>
        <w:rPr>
          <w:b/>
        </w:rPr>
        <w:t xml:space="preserve">Quelle: </w:t>
      </w:r>
      <w:r>
        <w:t>https://mcp.opencaselaw.ch/entscheid/zh_obergericht_PS110222</w:t>
      </w:r>
    </w:p>
    <w:p>
      <w:r>
        <w:t>FR: ZH_OBERGERICHT PS110222 du 12 décembre 2011</w:t>
      </w:r>
    </w:p>
    <w:p>
      <w:r>
        <w:t>IT: ZH_OBERGERICHT PS110222 del 12 dicembre 2011</w:t>
      </w:r>
    </w:p>
    <w:p>
      <w:pPr>
        <w:pStyle w:val="Heading2"/>
      </w:pPr>
      <w:r>
        <w:t>Erwägungen</w:t>
      </w:r>
    </w:p>
    <w:p>
      <w:r>
        <w:rPr>
          <w:b/>
        </w:rPr>
        <w:t>E. 1</w:t>
      </w:r>
    </w:p>
    <w:p>
      <w:r>
        <w:t>Der Schuldner und Beschwerdeführer (fortan Schuldner) ist Inhaber der seit dem 6. November 1985 im Handelsregister des Kantons Zürich eingetra- genen Einzelfirma C._____ (act. 5).</w:t>
      </w:r>
    </w:p>
    <w:p>
      <w:r>
        <w:rPr>
          <w:b/>
        </w:rPr>
        <w:t>E. 2</w:t>
      </w:r>
    </w:p>
    <w:p>
      <w:r>
        <w:t>Mit Urteil vom 16. November 2011 eröffnete das Konkursgericht des Bezirks Dietikon den Konkurs über den Schuldner für eine Forderung der Gläubi- gerin und Beschwerdegegnerin (fortan Gläubigerin) von Fr. 5'619.60 nebst 5 % Zins seit 30. September 2010 zuzüglich Mahnkosten von Fr. 150.00 und Betrei- bungskosten von Fr. 151.00 (act. 2). Das Urteil wurde dem Schuldner am 17. November 2011 zugestellt (act. 7/7). Mit rechtzeitig eingereichter Beschwerde vom 24. November 2011, beim Obergericht eingegangen am 25. November 2011, beantragte der Schuldner die Aufhebung des Konkurses und stellte gleichzeitig ein Gesuch um Erteilung der aufschiebenden Wirkung der Beschwerde (act. 1 S. 2).</w:t>
      </w:r>
    </w:p>
    <w:p>
      <w:r>
        <w:rPr>
          <w:b/>
        </w:rPr>
        <w:t>E. 3</w:t>
      </w:r>
    </w:p>
    <w:p>
      <w:r>
        <w:t>Bereits vor der Konkurseröffnung, am 7. November 2011, hatte der Schuldner die Konkursforderung samt Kosten und Zinsen beim Betreibungsamt Y._____ bezahlt (act. 4/6). Damit ist eine konkurshindernde Tatsache (Tilgung) im Sinne von Art. 172 Ziff. 3 SchKG dargetan, welche vor der erstinstanzlichen Kon- kurseröffnung (16. November 2011) eingetreten ist. Nach ständiger Praxis der Kammer wird von der Prüfung der Zahlungsfähig- keit im Sinne von Art. 174 Abs. 2 SchKG abgesehen, wenn wie vorliegend die Schuld einschliesslich der Betreibungskosten und Zinsen vor der Konkurseröff- nung getilgt wurde. Unberücksichtigt bleibt dabei, dass ein Schuldner die Kosten des Konkursrichters (zusammen mit jenen des Konkursamtes) erst nach der Kon- kurseröffnung sichergestellt hat.</w:t>
      </w:r>
    </w:p>
    <w:p>
      <w:r>
        <w:rPr>
          <w:b/>
        </w:rPr>
        <w:t>E. 4</w:t>
      </w:r>
    </w:p>
    <w:p>
      <w:r>
        <w:t>Wie dargelegt, hat der Schuldner inzwischen sowohl die Kosten des Konkursamtes als auch die erst- und zweitinstanzliche Spruchgebühr sicherge- stellt. Die Voraussetzungen für die Aufhebung des Konkurses sind damit erfüllt und die Beschwerde erweist sich als begründet. Somit ist die Konkurseröffnung aufzuheben, ohne dass es einer weiteren Prüfung der Zahlungsfähigkeit bedarf.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