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PS110145 vom 19. August 2011</w:t>
      </w:r>
    </w:p>
    <w:p>
      <w:r>
        <w:t>ZH Obergericht, 2011-08-19, DE</w:t>
      </w:r>
    </w:p>
    <w:p>
      <w:r>
        <w:rPr>
          <w:b/>
        </w:rPr>
        <w:t xml:space="preserve">Quelle: </w:t>
      </w:r>
      <w:r>
        <w:t>https://mcp.opencaselaw.ch/entscheid/zh_obergericht_PS110145</w:t>
      </w:r>
    </w:p>
    <w:p>
      <w:r>
        <w:t>FR: ZH_OBERGERICHT PS110145 du 19 août 2011</w:t>
      </w:r>
    </w:p>
    <w:p>
      <w:r>
        <w:t>IT: ZH_OBERGERICHT PS110145 del 19 agosto 2011</w:t>
      </w:r>
    </w:p>
    <w:p>
      <w:pPr>
        <w:pStyle w:val="Heading2"/>
      </w:pPr>
      <w:r>
        <w:t>Erwägungen</w:t>
      </w:r>
    </w:p>
    <w:p>
      <w:r>
        <w:rPr>
          <w:b/>
        </w:rPr>
        <w:t>E. 23</w:t>
      </w:r>
    </w:p>
    <w:p>
      <w:r>
        <w:t>Juni 2011 vor, wonach er die in Betreibung gesetzte Forderung einschliesslich Zinsen und Betreibungskosten getilgt hat (act. 3/2). Zu den zu tilgenden Kosten gehören aber nicht nur die Kosten des Betreibungsamtes, sondern auch die beim Konkursgericht anfallenden Kosten, welche letztlich der Schuldner verur- sacht hat, indem er die Gläubigerin durch Zahlungssäumnis zur Stellung des Konkursbegehrens veranlasste. Der Schuldner wird die gerichtlichen Kosten bei der Vorinstanz sicherzustellen haben. Deren Höhe wird er der ihm von der Vo- rinstanz zuzustellenden Anzeige der Konkurseröffnungsverhandlung entnehmen können.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