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PS110115 vom 8. Juli 2011</w:t>
      </w:r>
    </w:p>
    <w:p>
      <w:r>
        <w:t>ZH Obergericht, 2011-07-08, DE</w:t>
      </w:r>
    </w:p>
    <w:p>
      <w:r>
        <w:rPr>
          <w:b/>
        </w:rPr>
        <w:t xml:space="preserve">Quelle: </w:t>
      </w:r>
      <w:r>
        <w:t>https://mcp.opencaselaw.ch/entscheid/zh_obergericht_PS110115</w:t>
      </w:r>
    </w:p>
    <w:p>
      <w:r>
        <w:t>FR: ZH_OBERGERICHT PS110115 du 8 juillet 2011</w:t>
      </w:r>
    </w:p>
    <w:p>
      <w:r>
        <w:t>IT: ZH_OBERGERICHT PS110115 del 8 luglio 2011</w:t>
      </w:r>
    </w:p>
    <w:p>
      <w:pPr>
        <w:pStyle w:val="Heading2"/>
      </w:pPr>
      <w:r>
        <w:t>Erwägungen</w:t>
      </w:r>
    </w:p>
    <w:p>
      <w:r>
        <w:rPr>
          <w:b/>
        </w:rPr>
        <w:t>E. 1</w:t>
      </w:r>
    </w:p>
    <w:p>
      <w:r>
        <w:t>Januar 2011 nicht geändert worden (Anhang 17 der ZPO). Soweit Art. 20a SchKG keine Bestimmungen enthält, regeln die Kantone das Verfahren (Art. 20a Abs. 3 SchKG). Abgesehen davon, dass am 1. Januar 2011 hängige Zivilverfah- ren von der bisher sachlich zuständigen Instanz fortgeführt werden (§ 206 GOG), enthält das kantonale Recht keine eigenen Übergangsbestimmungen. Die neuen Bestimmungen wurden jedoch im Zusammenhang mit dem Inkrafttreten der schweizerischen Zivilprozessordnung erlassen und verweisen für Details des Ver- fahrens ausdrücklich auf die ZPO. Praxisgemäss sind daher die Übergangsbe- stimmungen der ZPO auch auf das kantonale Verfahren der SchKG-Beschwerde anzuwenden (OGER ZH NR100060 vom 21. Januar 2011, publiziert unter www.gerichte-zh.ch/entscheide/entscheide-neue-zpo.html). Nach deren Art. 404 Abs. 1 gilt für im Zeitpunkt des Inkrafttretens der ZPO rechtshängige Verfahren bis zum Abschluss vor der betroffenen Instanz das bisherige Verfahrensrecht.</w:t>
      </w:r>
    </w:p>
    <w:p>
      <w:r>
        <w:t>- 4 - Demnach gelten für das Verfahren der Vorinstanz neben den Art. 17 ff. SchKG auch die Bestimmungen der zürcherischen ZPO (ZPO/ZH; vgl. auch Art. 20a Abs. 3 SchKG). Für die gegen den vorinstanzlichen Entscheid vom 27. Mai 2011 zur Verfügung stehenden Rechtsmittel und das Rechtsmittelverfahren gilt dage- gen (ergänzend) das seit dem 1. Januar 2011 in Kraft stehende Recht (Art. 405 Abs. 1 ZPO).</w:t>
      </w:r>
    </w:p>
    <w:p>
      <w:r>
        <w:rPr>
          <w:b/>
        </w:rPr>
        <w:t>E. 2</w:t>
      </w:r>
    </w:p>
    <w:p>
      <w:r>
        <w:t>Die Beschwerdeführerin beantragt im Rechtsmittel ergänzend zu ihren Begehren vor Vorinstanz die Feststellung der fehlerhaften Zustellung der Zah- lungsbefehle in den Betreibungen Nr. … und Nr. … sowie die Rechtsverbindlich- erklärung der am 18. April 2011 mit Rechtsvorschlag an die Vorinstanz zugestell- ten Zahlungsbefehle und Überweisung an das Betreibungsamt (act. 26 S. 2 Ziff. 2 und Ziff. 3). Im Beschwerdeverfahren sind jedoch gemäss Art. 326 ZPO neue An- träge, neue Tatsachenbehauptungen und neue Beweismittel ausgeschlossen. Ei- ne Klageänderung in zweiter Instanz ist in diesem Rechtsmittelverfahren damit unzulässig (ZK ZPO-LEUENBERGER, Art. 227 N 30). In diesem Umfang ist auf die Beschwerde daher nicht einzutreten. III. 1. Die Beschwerdeführerin stellte vor Vorinstanz in Abrede, dass ihr das Betreibungsamt Y._____ als Voraussetzung zur Ausstellung der Pfändungsan- kündigungen in den Betreibungen Nr. ... und Nr. ... Zahlungsbefehle zugestellt habe. Dadurch habe das Betreibungsamt wesentliche Grundsätze des SchKG, insbesondere die Verteidigungsrechte der Schuldnerin verletzt. Daher seien die ihr unter anderem am 25. November 2010 zugestellten Pfändungsankündigungen als nichtig aufzuheben (act. 1). In ihrer Stellungnahme vom 31. Januar 2011 bestritt die Beschwerdeführe- rin, am 29. September und 4. Oktober 2010 eine Pfändungsankündigung erhalten oder einen Abholschein der Post im Briefkasten vorgefunden zu haben. Gemäss Betreibungsamt seien die Pfändungsankündigungen am 29. September und</w:t>
      </w:r>
    </w:p>
    <w:p>
      <w:r>
        <w:rPr>
          <w:b/>
        </w:rPr>
        <w:t>E. 4</w:t>
      </w:r>
    </w:p>
    <w:p>
      <w:r>
        <w:t>Nach dem Gesagten erweist sich das Rechtsmittel im Restumfang aus den angeführten Gründen als unbegründet und ist daher abzuweisen. IV. Das Verfahren vor der oberen kantonalen Aufsichtsbehörde in Schuldbetrei- bungs- und Konkurssachen ist kostenlos (Art. 20a Abs. 2 Ziff. 5 SchKG). Partei-</w:t>
      </w:r>
    </w:p>
    <w:p>
      <w:r>
        <w:t>- 9 - entschädigungen dürfen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