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PQ250076 vom 22. Dezember 2025</w:t>
      </w:r>
    </w:p>
    <w:p>
      <w:r>
        <w:t>ZH Obergericht, 2025-12-22, DE</w:t>
      </w:r>
    </w:p>
    <w:p>
      <w:r>
        <w:rPr>
          <w:b/>
        </w:rPr>
        <w:t xml:space="preserve">Quelle: </w:t>
      </w:r>
      <w:r>
        <w:t>https://mcp.opencaselaw.ch/entscheid/zh_obergericht_PQ250076</w:t>
      </w:r>
    </w:p>
    <w:p>
      <w:r>
        <w:t>FR: ZH_OBERGERICHT PQ250076 du 22 décembre 2025</w:t>
      </w:r>
    </w:p>
    <w:p>
      <w:r>
        <w:t>IT: ZH_OBERGERICHT PQ250076 del 22 dicembre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Kosten- und Entschädigungsfolgen im bezirksrätlichen Verfahren</w:t>
      </w:r>
    </w:p>
    <w:p>
      <w:r>
        <w:rPr>
          <w:b/>
        </w:rPr>
        <w:t>E. 5.1</w:t>
      </w:r>
    </w:p>
    <w:p>
      <w:r>
        <w:t>Der Beschwerdeführer rügt schliesslich, der Bezirksrat habe ihm Gerichts- kosten auferlegt, obwohl er (der Beschwerdeführer) auf systematische Umset- zungsdefizite hingewiesen und spezifische Rechtsdurchsetzung verlangt habe. Bei seriöser Geltendmachung von Vollzugsdefiziten und bei einem Schutzbedürf- nis des Kindes sei der Vorwurf, die Beschwerde "sei nicht in guten Treuen" erho- ben worden, fehl am Platz (act. 2 S. 4).</w:t>
      </w:r>
    </w:p>
    <w:p>
      <w:r>
        <w:rPr>
          <w:b/>
        </w:rPr>
        <w:t>E. 5.2</w:t>
      </w:r>
    </w:p>
    <w:p>
      <w:r>
        <w:t>Wie den vorstehenden Erwägungen zu entnehmen ist, hat die Vorinstanz die Beschwerde zu Recht abgewiesen; gegen den Nichteintretensentscheid wehrt sich der Beschwerdeführer vor der Kammer nicht. Somit hat die Vorinstanz die Kosten nach Massgabe von Art. 106 Abs. 1 ZPO zu Recht dem Beschwerdefüh- rer auferlegt. Der Auffassung des Beschwerdeführers, er habe die Beschwerde- anträge in guten Treuen gestellt, kann nicht gefolgt werden. Der Beschwerdefüh- rer fokussiert sich nach wie vor darauf, die Fachpersonen mit Vorwürfen einzude- cken statt mit ihnen zusammenzuarbeiten. Unter diesen Umständen kann nicht gesagt werden, er habe die – über weite Strecken ungenügend begründete – Be- schwerde in guten Treuen erhoben.</w:t>
      </w:r>
    </w:p>
    <w:p>
      <w:r>
        <w:rPr>
          <w:b/>
        </w:rPr>
        <w:t>E. 6</w:t>
      </w:r>
    </w:p>
    <w:p>
      <w:r>
        <w:t>Kosten- und Entschädigungsfolgen im vorliegenden Beschwerdeverfahren Bei diesem Ausgang des Verfahrens wird der Beschwerdeführer auch für das vor- liegende Beschwerdeverfahren kostenpflichtig (Art. 106 Abs. 1 ZPO). Die Ent- scheidgebühr ist gestützt auf § 12 GebV OG i.V.m. § 5 GebV OG, der einen Ge- bührenrahmen von Fr. 300.– bis Fr. 13'000.– vorsieht, unter Berücksichtigung des</w:t>
      </w:r>
    </w:p>
    <w:p>
      <w:r>
        <w:t>- 12 - tatsächlichen Streitinteresses, des Zeitaufwands und der Schwierigkeit des Falles zu bemessen. Angesichts des geringfügigen Zeitaufwands ist die Gebühr für das vorliegende Beschwerdeverfahren auf Fr. 500.– festzusetzen.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