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PQ250046 vom 26. August 2025</w:t>
      </w:r>
    </w:p>
    <w:p>
      <w:r>
        <w:t>ZH Obergericht, 2025-08-26, DE</w:t>
      </w:r>
    </w:p>
    <w:p>
      <w:r>
        <w:rPr>
          <w:b/>
        </w:rPr>
        <w:t xml:space="preserve">Quelle: </w:t>
      </w:r>
      <w:r>
        <w:t>https://mcp.opencaselaw.ch/entscheid/zh_obergericht_PQ250046</w:t>
      </w:r>
    </w:p>
    <w:p>
      <w:r>
        <w:t>FR: ZH_OBERGERICHT PQ250046 du 26 août 2025</w:t>
      </w:r>
    </w:p>
    <w:p>
      <w:r>
        <w:t>IT: ZH_OBERGERICHT PQ250046 del 26 agosto 2025</w:t>
      </w:r>
    </w:p>
    <w:p>
      <w:pPr>
        <w:pStyle w:val="Heading2"/>
      </w:pPr>
      <w:r>
        <w:t>Erwägungen</w:t>
      </w:r>
    </w:p>
    <w:p>
      <w:r>
        <w:rPr>
          <w:b/>
        </w:rPr>
        <w:t>E. 1</w:t>
      </w:r>
    </w:p>
    <w:p>
      <w:r>
        <w:t>Mit Eingabe vom 16. Juli 2025 gelangte A._____ (nachfolgend Beschwerde- führer) an den Bezirksrat Hinwil (nachfolgend Vorinstanz) und beschwerte sich in sieben Beschwerdepunkten über das Vorgehen der KESB Bezirk Hinwil (nachfol- gend KESB) im Zusammenhang mit der Einsetzung einer Kindesvertretung für seinen Pflegesohn B._____. Der Beschwerdeführer warf der KESB mit seiner Ein- gabe, die gleichzeitig ans Amt für Jugend- und Berufsberatung des Kantons Zü- richs (AJB), die involvierte Schulleitung, an den Vormund von B._____ sowie die vom Beschwerdeführer im KESB-Verfahren mandatierte Anwaltskanzlei (vgl. act. 8/2/6) ging, in verschiedener Hinsicht Fehlverhalten vor, ohne sich auf einen kon- kreten Entscheid der KESB zu beziehen (act. 8/1 passim). Mit Entscheid vom 16. Juli 2025 ordnete die KESB für B._____ eine Kindes- vertretung nach Art. 314abis ZGB an und setzte Rechtsanwältin X._____ als Kin- desvertreterin ein (act. 8/3). Gegen diesen Entscheid erhob der Beschwerdeführer (wiederum persönlich) mit Eingabe vom 19. Juli 2025 Beschwerde bei der Vorin- stanz, unter Wiederholung sämtlicher mit der Eingabe vom 16. Juli 2025 vorge- brachter Beschwerdepunkte. Lediglich das in der Eingabe vom 16. Juli 2025 im Weiteren erwähnte Nichteinverständnis mit der Ersetzung des bisherigen Vor- munds fehlte in der Beschwerde vom 19. Juli 2025 (act. 10/1).</w:t>
      </w:r>
    </w:p>
    <w:p>
      <w:r>
        <w:rPr>
          <w:b/>
        </w:rPr>
        <w:t>E. 2</w:t>
      </w:r>
    </w:p>
    <w:p>
      <w:r>
        <w:t>Mit Präsidialverfügung vom 23. Juli 2025 entschied die Vorinstanz, bei der Eingabe vom 16. Juli 2025 handle es sich mangels in jenem Zeitpunkt vorhande- nen Entscheids der KESB um eine Aufsichtsbeschwerde, welche grundsätzlich an die Aufsichtsbehörde über die KESB zu überweisen wäre. Nachdem indes die KESB am 16. Juli 2025 einen anfechtbaren Entscheid in dieser Sache getroffen und der Beschwerdeführer mit Eingabe vom 19. Juli 2025 dagegen Beschwerde erhoben habe, sei auf die Eingabe vom 16. Juli 2025 infolge der Subsidiarität der Aufsichtsbeschwerde nicht einzutreten. Soweit der Beschwerdeführer in der Ein- gabe vom 16. Juli 2025 geltend mache, mit der Absetzung des Vormunds von B._____ nicht einverstanden zu sein, liege diesbezüglich kein Entscheid der</w:t>
      </w:r>
    </w:p>
    <w:p>
      <w:r>
        <w:t>- 3 - KESB vor, weshalb auf diesen Antrag nicht einzutreten sei (act. 8/4 = act. 3/1 = act. 6 [nachfolgend zitiert als act. 6], Erwägung 4. f.).</w:t>
      </w:r>
    </w:p>
    <w:p>
      <w:r>
        <w:rPr>
          <w:b/>
        </w:rPr>
        <w:t>E. 3</w:t>
      </w:r>
    </w:p>
    <w:p>
      <w:r>
        <w:t>Gegen diesen Entscheid der Vorinstanz erhob der Beschwerdeführer mit Eingabe vom 28. Juli 2025 (Datum Poststempel) rechtzeitig Beschwerde (act. 2). Er verweist darin auf seine Eingabe vom 16. Juli 2025 und die dort aufgeführten Beschwerdepunkte (act. 2 Ziff. 1-6) und beantragt überdies, der Entscheid der KESB vom 16. Juli 2025 auf Einsetzung einer Kindesvertretung sei "abzuweisen", d.h. aufzuheben, ebenso wie der Entscheid der KESB, den Vormund Rechtsan- walt C._____ zu ersetzen (act. 2 Ziff. 7 f.). Die Akten des vorinstanzlichen Verfahrens wurden beigezogen (act. 8/1-5 sowie act. 10/1-2). Das Verfahren erweist sich sogleich als spruchreif. Dem Ver- fahrensbeteiligten ist mit dem vorliegenden Entscheid ein Doppel von act. 2 zur Kenntnisnahme zuzustellen. 4.1. 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Beschwerdein- stanzen, als erste Beschwerdeinstanz den Bezirksrat und als zweite das Oberge- richt. Gegenstand des zweitinstanzlichen Beschwerdeverfahrens können daher stets nur Entscheide des Bezirksrates als Vorinstanz sein, nicht hingegen solche der KESB. 4.2. Zur Beschwerde ist legitimiert, wer durch den angefochtenen Entscheid be- schwert ist. Dies trifft auf den Beschwerdeführer zu.</w:t>
      </w:r>
    </w:p>
    <w:p>
      <w:r>
        <w:t>- 4 - 4.3.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w:t>
      </w:r>
    </w:p>
    <w:p>
      <w:r>
        <w:rPr>
          <w:b/>
        </w:rPr>
        <w:t>E. 7</w:t>
      </w:r>
    </w:p>
    <w:p>
      <w:r>
        <w:t>Der Beschwerdeführer unterliegt mit seiner Beschwerde. Dies führt zur Auf- lage der Gerichtskosten (§ 60 Abs. 5 EG KESR i.V.m. Art. 106 ZPO). Die Höhe der Entscheidgebühr ist in Anbetracht des beschränkten Aufwands und der Um-</w:t>
      </w:r>
    </w:p>
    <w:p>
      <w:r>
        <w:t>- 6 - stände auf Fr. 300.– festzusetzen (§ 40 EG KESR i.V.m. Art. 96 ZPO sowie § 12 i.V.m. § 5 Abs. 1 GebV OG). Parteientschädigungen sind keine zuzusprechen. Dem Beschwerdeführer nicht, weil seine Beschwerde abgewiesen wird, dem Verfahrensbeteiligten nicht, weil er im vorliegenden Verfahren keinerlei Aufwendungen gehabt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