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PQ240078 vom 24. März 2025</w:t>
      </w:r>
    </w:p>
    <w:p>
      <w:r>
        <w:t>ZH Obergericht, 2025-03-24, DE</w:t>
      </w:r>
    </w:p>
    <w:p>
      <w:r>
        <w:rPr>
          <w:b/>
        </w:rPr>
        <w:t xml:space="preserve">Quelle: </w:t>
      </w:r>
      <w:r>
        <w:t>https://mcp.opencaselaw.ch/entscheid/zh_obergericht_PQ240078</w:t>
      </w:r>
    </w:p>
    <w:p>
      <w:r>
        <w:t>FR: ZH_OBERGERICHT PQ240078 du 24 mars 2025</w:t>
      </w:r>
    </w:p>
    <w:p>
      <w:r>
        <w:t>IT: ZH_OBERGERICHT PQ240078 del 24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Kindes- und Erwachsenenschutzbehörde der Stadt Zürich (KESB) führt seit Juni 2023 für A._____ eine Vertretungsbeistandschaft mit Vermögensverwal- tung nach Art. 394 f. ZGB. Mit Beschluss vom 9. Juli 2024 erweiterte die KESB die Beistandsaufgaben. Neu waren der Beistandsperson die zusätzlichen Aufga- ben übertragen, für eine geeignete Wohnsituation und das gesundheitliche Wohl von A._____ besorgt zu sein und sie in diesen Angelegenheiten zu vertreten. Am 12. August 2024 gelangte A._____ mit einer Beschwerde an den Bezirksrat Zü- rich und beantragte, den angefochtenen KESB-Beschluss unter Kostenfolge auf- zuheben (act. 9/3). Mit Urteil vom 29. Oktober 2024 wies der Bezirksrat die Be- schwerde ab, soweit er darauf eintrat, und bestätigte den Beschluss der KESB vom 9. Juli 2024 (act. 8).</w:t>
      </w:r>
    </w:p>
    <w:p>
      <w:r>
        <w:rPr>
          <w:b/>
        </w:rPr>
        <w:t>E. 2</w:t>
      </w:r>
    </w:p>
    <w:p>
      <w:r>
        <w:t>Mit Eingabe vom 2. Dezember 2024 erhob A._____ (nachfolgend Beschwer- deführerin) beim Obergericht Beschwerde gegen den ebengenannten Entscheid des Bezirksrats Zürich (act. 3). Die Akten des Bezirksrates (act. 9/1-33) sowie der KESB (act. 10/1-111 sowie act. 13/112-134) wurden beigezogen. Mit Schreiben vom 21. Februar 2025 (Datum Poststempel) zog die Beschwerdeführerin ihre Be- schwerde zurück (act. 19). Damit ist das Verfahren vor Obergericht eo ipso been- det (Art. 241 Abs. 2 ZPO). Es ist entsprechend abzuschreiben (Art. 241 Abs. 3 ZPO), wobei dem Abschreibungsbeschluss nur deklaratorische Wirkung zukommt (ZK ZPO-LEUMANN LIEBSTER, 4. A. 2025, Art. 241 N 21).</w:t>
      </w:r>
    </w:p>
    <w:p>
      <w:r>
        <w:rPr>
          <w:b/>
        </w:rPr>
        <w:t>E. 3</w:t>
      </w:r>
    </w:p>
    <w:p>
      <w:r>
        <w:t>Der erfolgte Rückzug der Beschwerde kommt einem Unterliegen gleich und führt zu Kostenauflage (Art. 106 Abs. 1 ZPO). Die Entscheidgebühr ist in Anbe- tracht des geringen Aufwands auf Fr. 200.– festzusetzen (§ 60 Abs. 2 und § 73 EG KESR). Eine Parteientschädigung ist bei diesem Ausgang nicht zuzuspre- chen.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