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PQ240003 vom 2. April 2024</w:t>
      </w:r>
    </w:p>
    <w:p>
      <w:r>
        <w:t>ZH Obergericht, 2024-04-02, DE</w:t>
      </w:r>
    </w:p>
    <w:p>
      <w:r>
        <w:rPr>
          <w:b/>
        </w:rPr>
        <w:t xml:space="preserve">Quelle: </w:t>
      </w:r>
      <w:r>
        <w:t>https://mcp.opencaselaw.ch/entscheid/zh_obergericht_PQ240003</w:t>
      </w:r>
    </w:p>
    <w:p>
      <w:r>
        <w:t>FR: ZH_OBERGERICHT PQ240003 du 2 avril 2024</w:t>
      </w:r>
    </w:p>
    <w:p>
      <w:r>
        <w:t>IT: ZH_OBERGERICHT PQ240003 del 2 aprile 2024</w:t>
      </w:r>
    </w:p>
    <w:p>
      <w:pPr>
        <w:pStyle w:val="Heading2"/>
      </w:pPr>
      <w:r>
        <w:t>Erwägungen</w:t>
      </w:r>
    </w:p>
    <w:p>
      <w:r>
        <w:rPr>
          <w:b/>
        </w:rPr>
        <w:t>E. 1</w:t>
      </w:r>
    </w:p>
    <w:p>
      <w:r>
        <w:t>B._____ und A._____ sind die unverheirateten und seit 2014 getrennt leben- den Eltern von E._____, geboren tt.mm.2008, D._____, geboren tt.mm.2011 und C._____, geboren tt.mm.2014. Die Kinder standen (bis 8. August 2023) unter der alleinigen elterlichen Sorge der Mutter (KESB-act. 8/5/82 [E._____], act. 8/5/81 [D._____], act. 8/5/82 [C._____]). Sie sind immer bis heute in ihrer Obhut gewe- sen. Soweit ersichtlich kommt die Beschwerdegegnerin zusammen mit der Unter- stützung durch die Sozialhilfe weitestgehend für den Unterhalt der Kinder auf (vgl. bspw. KESB-act. 5/38 S. 2). A._____ (Beschwerdeführer) wandte sich im Juli 2022 an die Kinder- und Erwach- senenschutzbehörde Horgen (KESB) wegen Problemen bei der Ausübung des Besuchsrechts und beantragte die Regelung des persönlichen Verkehrs mit sei- nen Kindern (KESB-act. 8/5/27). Im Verlaufe des Verfahrens beantragte der Be- schwerdeführer zusätzlich eine gemeinsame elterliche Sorge und die Beschwer- degegnerin eine Neubeurteilung der Unterhaltszahlungen. Die durch die KESB er- folgten Abklärungen ergaben, dass die Eltern in mehreren Kinderbelangen unter- schiedliche Standpunkte vertreten. Da eine gemeinsame Kommunikation unmög- lich war und oftmals im Streit endet, ordnete die KESB eine Mediation an, die vom Beschwerdeführer abgebrochen wurde (KESB-act. 5/62, 5/66, 5/70). Mit drei separaten Beschlüssen vom 8. August 2023 hob die KESB die Weisung zum Besuch einer Mediation auf (KESB-act. 8/5/82 [E._____], act. 8/5/81 [D._____], act. 8/5/82 [C._____], jeweils Dispositivziffer 1), verzichtete für E._____ und D._____, nicht aber für C._____ auf die Anordnung von Kindes- schutzmassnahmen (Besuchsrechtsbeistandschaft) (jeweils Dispositivziffer 2), re- gelte den persönlichen Verkehr des Beschwerdeführers mit D._____ und C._____ (KESB-act. 8/5/81 Dispositivziffer 3. a-e [D._____], act. 8/5/82 Dispositivziffer 4.a- e [C._____]), ermahnte den Beschwerdeführer, das Besuchsrecht und seine Ver- antwortung wahrzunehmen (Dispositivziffern 4 bzw. 5) und erteilte dem Vater die gemeinsame elterliche Sorge für alle drei Kinder (Dispositivziffern 4 bzw. 5 bzw.</w:t>
      </w:r>
    </w:p>
    <w:p>
      <w:r>
        <w:t>- 3 - 6). Die Gebühren von je Fr. 1'200.-- für jeden der drei Beschlüsse auferlegte die KESB beiden Eltern je zur Hälfte, unter einstweiliger Übernahme beider Anteile zu Lasten der Amtskasse (KESB-act. 8/5/82 Dispositivziffer 6 [E._____], act. 8/5/81 Dispositivziffer 6 [D._____], act. 8/5/82 Dispositivziffer 6 [C._____] = BR-act. 2).</w:t>
      </w:r>
    </w:p>
    <w:p>
      <w:r>
        <w:rPr>
          <w:b/>
        </w:rPr>
        <w:t>E. 2</w:t>
      </w:r>
    </w:p>
    <w:p>
      <w:r>
        <w:t>Mit Eingabe vom 30. August 2023 reichte die Beschwerdegegnerin Be- schwerde gegen die Beschlüsse ein und beantragte im Wesentlichen die Aufhe- bung der gemeinsamen elterlichen Sorge und die Änderung des angeordneten Besuchsrechts für D._____ (BR-act. 1). Mit Verfügung des Bezirksratspräsidenten vom 12. Oktober 2023 wurden die Verfahren vereinigt und unter der Verfahrens- nummer VO.2023.44 weitergeführt (BR-act. 9). Die Stellungnahme des (heutigen) Beschwerdeführers (act. BR-6) wurde der (heutigen) Beschwerdegegnerin zur freigestellten Stellungnahme zugestellt (BR-act. 9). Mit Urteil vom 14. Dezember 2023 wies der Bezirksrat die Beschwerde ab, ermahnte den (heutigen) Beschwer- deführer das von der KESB mit Entscheid vom 8. August 2023 angeordnete Be- suchsrecht wahrzunehmen und auferlegte die Entscheidgebühr von Fr. 1'200.-- je hälftig den Parteien (act. BR-10 = act. 7 Dispositivziffer III).</w:t>
      </w:r>
    </w:p>
    <w:p>
      <w:r>
        <w:rPr>
          <w:b/>
        </w:rPr>
        <w:t>E. 3</w:t>
      </w:r>
    </w:p>
    <w:p>
      <w:r>
        <w:t>Zusammenfassend ist festzuhalten, dass entgegen der Behauptung des Beschwerdeführers die Erhebung der Beschwerde der Beschwerdegegnerin an den Bezirksrat nicht unnötig (im Sinne von mutwillig), sondern berechtigt, war. Der Bezirksrat auferlegte zu Recht die Kosten seines Verfahrens den Parteien unabhängig vom Verfahrensausgang je hälftig, weil beide Parteien im berechtig- ten Interesse ihrer gemeinsamen Kinder gehandelt haben (Art. 107 Abs. 1 lit. c ZPO). Die Gewährung der unentgeltlichen Rechtspflege hätte der Beschwerde- führer beim Bezirksrat verlangen müssen (§ 119 Abs. 5 ZPO), was er trotz eines entsprechenden Hinweises in der Verfügung vom 12. Oktober 2023 (BR-act. 9 S. 5) unterliess. Die Behauptung in der Beschwerde, dass er nicht die Hälfte der Kosten bezahlen könne, weil er kein Einkommen habe und von den Sozialdiens- ten unterstützt werde, ist heute verspätet. Die Beschwerde ist abzuweisen. III. Es handelt sich um eine vermögensrechtliche Streitigkeit. Gestützt auf § 4 GebV OG ist bei einem Streitwert von Fr. 600.-- die Gerichtsgebühr auf CHF 150.-- anzu- setzen und dem Beschwerdeführer aufzuerlegen, weil er unterliegt. Parteientschä- digung sind keine zuzusprechen, dem Beschwerdeführer nicht, weil er unterliegt, der Beschwerdegegnerin nicht, weil ihr keine zu entschädigenden Umtriebe ent- 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