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PQ230058 vom 10. November 2023</w:t>
      </w:r>
    </w:p>
    <w:p>
      <w:r>
        <w:t>ZH Obergericht, 2023-11-10, DE</w:t>
      </w:r>
    </w:p>
    <w:p>
      <w:r>
        <w:rPr>
          <w:b/>
        </w:rPr>
        <w:t xml:space="preserve">Quelle: </w:t>
      </w:r>
      <w:r>
        <w:t>https://mcp.opencaselaw.ch/entscheid/zh_obergericht_PQ230058</w:t>
      </w:r>
    </w:p>
    <w:p>
      <w:r>
        <w:t>FR: ZH_OBERGERICHT PQ230058 du 10 novembre 2023</w:t>
      </w:r>
    </w:p>
    <w:p>
      <w:r>
        <w:t>IT: ZH_OBERGERICHT PQ230058 del 10 novembre 2023</w:t>
      </w:r>
    </w:p>
    <w:p>
      <w:pPr>
        <w:pStyle w:val="Heading2"/>
      </w:pPr>
      <w:r>
        <w:t>Erwägungen</w:t>
      </w:r>
    </w:p>
    <w:p>
      <w:r>
        <w:rPr>
          <w:b/>
        </w:rPr>
        <w:t>E. 1</w:t>
      </w:r>
    </w:p>
    <w:p>
      <w:r>
        <w:t>Mit Entscheid vom 15. Juli 2020 hatte die Kindes- und Erwachsenenschutz- behörde der Bezirke Winterthur und Andelfingen (nachfolgend KESB) über den damals getrennt von seiner Ehefrau im Betreuten Wohnen C._____ lebenden B._____ eine Vertretungsbeistandschaft mit Einkommens- und Vermögensverwal- tung errichtet und D._____ als Beiständin eingesetzt (KESB-act. 49). Dagegen von ihm persönlich resp. von seiner Ehefrau erhobene Rechtsmittel beim Bezirks- rat Winterthur resp. beim Obergericht Zürich blieben erfolglos (KESB-act. 65, KESB-act. 69). Mit Meldung vom 15. September 2022 beantragte die Beiständin, B._____ sei der Zugriff auf seine Vermögenswerte bis auf ein noch zu benennendes Konto in Eigenverwaltung zu entziehen (KESB-act. 78). Nachdem bekannt geworden war, dass B._____ sich per Ende Februar 2023 vom Betreuten Wohnen C._____ abgemeldet hatte und am 1. März 2023 zu seiner Ehefrau nach E._____ ziehen werde, stellte die Beiständin am 16. Februar 2023 den Antrag, die Erwachsenen- schutzmassnahme sei auf die neu zuständige Kindes- und Erwachsenenschutz- behörde im Kanton Solothurn zu übertragen, mit der Empfehlung an die neu zu- ständige Behörde, den Zugriff von B._____ auf seine Vermögenswerte zu entzie- hen (KESB-act. 81). Am 1. März 2023 beantragte sodann die Ehefrau von B._____, A._____, die Beistandschaft ihres Ehemannes aufzuheben (KESB-act. 87 f.). Am 21. April 2023 hörte die KESB B._____, in Begleitung seiner Ehefrau A._____, an (KESB-act. 95). Mit Entscheid vom 8. Mai 2023 lehnte die KESB den Antrag von A._____ auf Aufhebung der Beistandschaft ab und hiess den Antrag der Beiständin vom 15. September 2022 auf Entzug des Zugriffs von B._____ auf einzelne Vermögenswerte gut, wobei ein Behördenmitglied zu Letzterem eine Minderheitsmeinung zu Protokoll gab (KESB-act. 100 S. 6 Ziff. 1 und 2, S. 8).</w:t>
      </w:r>
    </w:p>
    <w:p>
      <w:r>
        <w:rPr>
          <w:b/>
        </w:rPr>
        <w:t>E. 2</w:t>
      </w:r>
    </w:p>
    <w:p>
      <w:r>
        <w:t>A._____ erhob daraufhin mit Schreiben vom 9. Juni 2023 Beschwerde beim Bezirksrat Winterthur (nachfolgend Vorinstanz) mit dem sinngemässen Antrag, den angefochtenen Entscheid aufzuheben und die Beistandschaft für ihren Mann B._____ aufzuheben (BR-act. 2). Die Vorinstanz holte eine Vernehmlassung bei der KESB ein (BR-act. 3), welche unter Einsendung ihrer Akten und Verweis auf</w:t>
      </w:r>
    </w:p>
    <w:p>
      <w:r>
        <w:t>- 3 - ihren Entscheid die Abweisung der Beschwerde beantragte (BR-act. 4). Mit Urteil vom 25. August 2023 wies die Vorinstanz die Beschwerde ab (BR-act. 6 = act. 6, nachfolgend zit. als act. 6).</w:t>
      </w:r>
    </w:p>
    <w:p>
      <w:r>
        <w:rPr>
          <w:b/>
        </w:rPr>
        <w:t>E. 3</w:t>
      </w:r>
    </w:p>
    <w:p>
      <w:r>
        <w:t>Gegen dieses Urteil erhob A._____ (nachfolgend Beschwerdeführerin) mit Eingabe vom 22. September 2023 (Datum Poststempel) rechtzeitig (BR-act. 6) die vorliegend zu beurteilende Beschwerde. Sie beantragt sinngemäss die Aufhe- bung des vorinstanzlichen Urteils und die Aufhebung der Beistandschaft über B._____ (act. 2). Die Akten der vorinstanzlichen Verfahren wurden beigezogen (act. 7/1-6, zitiert als "BR-act."; act. 8/1-106 und act. 11/107-114, zitiert als "KESB-act."). Auf weitere Verfahrensschritte kann verzichtet werden, weil sich das Verfahren so- gleich als spruchreif erweist.</w:t>
      </w:r>
    </w:p>
    <w:p>
      <w:r>
        <w:rPr>
          <w:b/>
        </w:rPr>
        <w:t>E. 4</w:t>
      </w:r>
    </w:p>
    <w:p>
      <w:r>
        <w:t>Das Beschwerdeverfahren in Kindes- und Erwachsenenschutzsachen ist im Einführungsgesetz zum Kindes- und Erwachsenenschutzrecht (EG KESR, LS 232.3)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 nenschutzrechtes im ZGB zwei gerichtliche Beschwerdeinstanzen, als erste Be- schwerdeinstanz den Bezirksrat und als zweite das Obergericht. Gegenstand des zweitinstanzlichen Beschwerdeverfahrens können daher stets nur Entscheide des Bezirksrates als Vorinstanz sein, nicht hingegen solche der KESB.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(DROESE, BSK ZGB I,</w:t>
      </w:r>
    </w:p>
    <w:p>
      <w:r>
        <w:t>- 4 -</w:t>
      </w:r>
    </w:p>
    <w:p>
      <w:r>
        <w:rPr>
          <w:b/>
        </w:rPr>
        <w:t>E. 7</w:t>
      </w:r>
    </w:p>
    <w:p>
      <w:r>
        <w:t>Die Beschwerde ist damit gutzuheissen, soweit sie sich gegen den Entzug des Zugriffs auf einzelne Vermögenswerte richtet, und abzuweisen in Bezug auf die einstweilige Weiterführung der bestehenden Beistandschaft.</w:t>
      </w:r>
    </w:p>
    <w:p>
      <w:r>
        <w:rPr>
          <w:b/>
        </w:rPr>
        <w:t>E. 8</w:t>
      </w:r>
    </w:p>
    <w:p>
      <w:r>
        <w:t>Umständehalber ist von einer Entscheidgebühr abzusehen. Eine Umtriebs- entschädigung wurde nicht geltend gemacht, so dass eine solche auch im Um- fang des teilweisen Obsiegens nicht in Frage kommt.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