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PQ230008 vom 13. März 2023</w:t>
      </w:r>
    </w:p>
    <w:p>
      <w:r>
        <w:t>ZH Obergericht, 2023-03-13, DE</w:t>
      </w:r>
    </w:p>
    <w:p>
      <w:r>
        <w:rPr>
          <w:b/>
        </w:rPr>
        <w:t xml:space="preserve">Quelle: </w:t>
      </w:r>
      <w:r>
        <w:t>https://mcp.opencaselaw.ch/entscheid/zh_obergericht_PQ230008</w:t>
      </w:r>
    </w:p>
    <w:p>
      <w:r>
        <w:t>FR: ZH_OBERGERICHT PQ230008 du 13 mars 2023</w:t>
      </w:r>
    </w:p>
    <w:p>
      <w:r>
        <w:t>IT: ZH_OBERGERICHT PQ230008 del 13 marzo 2023</w:t>
      </w:r>
    </w:p>
    <w:p>
      <w:pPr>
        <w:pStyle w:val="Heading2"/>
      </w:pPr>
      <w:r>
        <w:t>Erwägungen</w:t>
      </w:r>
    </w:p>
    <w:p>
      <w:r>
        <w:rPr>
          <w:b/>
        </w:rPr>
        <w:t>E. 1</w:t>
      </w:r>
    </w:p>
    <w:p>
      <w:r>
        <w:t>Die Parteien sind die Eltern von C._____, geboren tt.mm.2014. Die Eltern sind nicht miteinander verheiratet und leben getrennt. Die Parteien als Eltern von C._____ stehen sich in (Gerichts-)Verfahren betreffend Unterhalt, Sorge etc. ihrer gemeinsamen Tochter gegenüber. Mit Entscheid vom 6. Januar 2022 regelte die Kindes- und Erwachsenenschutzbehörde der Stadt Zürich (erneut) u.a. die Be- treuung von C._____ durch ihre Eltern und erteilte der nach Art. 308 Abs. 1 und 2 ZGB amtierenden Beiständin neue Aufgaben (BR-act. 2 = KESB-act. 283). Gegen diesen Entscheid gelangte die Beschwerdegegnerin an den Bezirksrat Zürich. Der Bezirksrat hiess die Beschwerde mit Urteil vom 27. Oktober 2022 unter hälftiger Auferlegung der Entscheidgebühr an die Parteien teilweise gut, indem er u.a. die Betreuung von C._____ abgeändert festlegte (BR-act. 62 S. 39 ff. Dispositivziffern I., II., = act. 3/3). Es kann, um unnötige Wiederholungen zu vermeiden, auf die ausführlichen Erwägungen zur Prozessgeschichte und zum Hintergrund des El- ternstreites auf das Urteil des Bezirksrates vom 27. Oktober 2022 verwiesen wer- den (BR-act. 62 S. 5 ff.). Wie soeben erwähnt, wurden mit Urteil vom 27. Oktober 2022 den Parteien die Kosten des bezirksrätlichen Beschwerdeverfahrens je zur Hälfte auferlegt (BR- act. 62 S. 41 Dispositivziffern II.). Explizit wurde in der Dispositivziffer, welche die hälftige Kostenauferlegung anordnete, festgehalten, dass über die Entschädigung der Kindsvertreterin und die Verlegung dieser Kosten separat entschieden werde. In den Erwägungen dazu hält der Bezirksrat unter Hinweis auf Art. 95 Abs. 2 lit. e ZPO korrekt fest, dass die Kosten der Kindsvertretung zu den Gerichtskosten zählen würden und deshalb mit separatem Entscheid festzusetzen und zu verle- gen seien, sobald die Kindsvertreterin ihre Aufstellung über den Zeitaufwand und die Auslagen für ihre Bemühungen eingereicht habe (BR-act. 62 S. 38 E. 6). Der Entscheid des Bezirksrates vom 27. Oktober 2022 ist rechtskräftig.</w:t>
      </w:r>
    </w:p>
    <w:p>
      <w:r>
        <w:t>- 4 -</w:t>
      </w:r>
    </w:p>
    <w:p>
      <w:r>
        <w:rPr>
          <w:b/>
        </w:rPr>
        <w:t>E. 2</w:t>
      </w:r>
    </w:p>
    <w:p>
      <w:r>
        <w:t>Am 23. Dezember 2022 reichte die Kindsvertreterin, Rechtsanwältin lic. iur. Y._____, dem Bezirksrat ihre Honorarnote für die Aufwendungen im bezirksrätli- chen Beschwerdeverfahren ein (BR-act. 65). Sie machte einen Aufwand von Fr. 9'922.-- zuzüglich Fr. 309.50 Barauslagen und Fr. 787.85 MwSt (7.7 %), ins- gesamt Fr. 11'019.35, geltend. Mit Beschluss vom 12. Januar 2023 auferlegte der Bezirksrat unter Hinweis auf die mit Urteil vom 27. Oktober 2022 getroffene An- ordnung die Kosten der Kindsvertreterin den Parteien je zur Hälfte (BR-act. 66 = act. 7 = act. 3/1 [nachfolgend nur noch als act. 7 zitiert]).</w:t>
      </w:r>
    </w:p>
    <w:p>
      <w:r>
        <w:rPr>
          <w:b/>
        </w:rPr>
        <w:t>E. 3</w:t>
      </w:r>
    </w:p>
    <w:p>
      <w:r>
        <w:t>Der Entscheid des Bezirksrats ist zu bestätigen und die Beschwerde abzu- weisen. III. Die Kosten des Beschwerdeverfahrens sind ausgangsgemäss dem Beschwerde- führer aufzuerlegen (Art. 106 Abs. 1 ZPO). Massgebend ist das tatsächliche Streitinteresse, der Zeitaufwand des Gerichts und die Schwierigkeit des Falles. Die Gebühr beträgt zwischen Fr. 300.-- und Fr. 13'000.-- (§ 5 in Verbindung mit § 12 der Gerichtsgebührenverordnung vom 8. September 2010). Vorliegend rechtfertigt sich mit Rücksicht auf den geringen Aufwand für die Bearbeitung eine Gebühr von Fr. 300.--. Eine Entschädigung ist ausgangsgemäss keine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