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PQ230003 vom 7. März 2023</w:t>
      </w:r>
    </w:p>
    <w:p>
      <w:r>
        <w:t>ZH Obergericht, 2023-03-07, DE</w:t>
      </w:r>
    </w:p>
    <w:p>
      <w:r>
        <w:rPr>
          <w:b/>
        </w:rPr>
        <w:t xml:space="preserve">Quelle: </w:t>
      </w:r>
      <w:r>
        <w:t>https://mcp.opencaselaw.ch/entscheid/zh_obergericht_PQ230003</w:t>
      </w:r>
    </w:p>
    <w:p>
      <w:r>
        <w:t>FR: ZH_OBERGERICHT PQ230003 du 7 mars 2023</w:t>
      </w:r>
    </w:p>
    <w:p>
      <w:r>
        <w:t>IT: ZH_OBERGERICHT PQ230003 del 7 marzo 2023</w:t>
      </w:r>
    </w:p>
    <w:p>
      <w:pPr>
        <w:pStyle w:val="Heading2"/>
      </w:pPr>
      <w:r>
        <w:t>Erwägungen</w:t>
      </w:r>
    </w:p>
    <w:p>
      <w:r>
        <w:rPr>
          <w:b/>
        </w:rPr>
        <w:t>E. 1</w:t>
      </w:r>
    </w:p>
    <w:p>
      <w:r>
        <w:t>B._____, geb. tt. mm 2019, ist der Sohn von A._____ (Beschwerdeführerin) und untersteht ihrer elterlichen Sorge. Nach der Geburt wurde für B._____ eine Beistandschaft nach Art. 308 Abs. 1 und 2 ZGB errichtet, der Beschwerdeführerin das Aufenthaltsbestimmungsrecht über B._____ entzogen und B._____ in einer Pflegefamilie platziert. Die Beschwerdeführerin ist berechtigt, B._____ an zwei Tagen in der Woche während jeweils maximal zwei Stunden im Beisein einer Fachperson zu besuchen (KESB-act. 40, 84, 211, 248, 256).</w:t>
      </w:r>
    </w:p>
    <w:p>
      <w:r>
        <w:rPr>
          <w:b/>
        </w:rPr>
        <w:t>E. 1.1</w:t>
      </w:r>
    </w:p>
    <w:p>
      <w:r>
        <w:t>Gemäss Art. 301 Abs. 1 ZGB leiten die Eltern im Blick auf das Wohl des Kindes seine Pflege und Erziehung und treffen unter Vorbehalt seiner eigenen Handlungsfähigkeit die nötigen Entscheidungen. Ist das Wohl des Kindes gefähr- det und sorgen die Eltern nicht von sich aus für Abhilfe oder sind sie dazu ausser- stande, so trifft die Kindesschutzbehörde die geeigneten Massnahmen zum Schutz des Kindes (Art. 307 Abs. 1 ZGB). Die Kindesschutzbehörde ist dazu auch gegenüber Kindern verpflichtet, die bei Pflegeeltern untergebracht sind oder sonst ausserhalb der häuslichen Gemeinschaft der Eltern leben (Art. 307 Abs. 2 ZGB). Sie kann insbesondere die Eltern oder Pflegeeltern ermahnen und ihnen be- stimmte Weisungen für die Pflege, Erziehung oder Ausbildung erteilen (Art. 307 Abs. 3 ZGB). Erfordern es die Verhältnisse, so ernennt die Kindesschutzbehörde dem Kind einen Beistand, der die Eltern in ihrer Sorge um das Kind mit Rat und</w:t>
      </w:r>
    </w:p>
    <w:p>
      <w:r>
        <w:t>- 10 - Tat unterstützt (Art. 308 Abs. 1 ZGB). Sie kann dem Beistand besondere Befug- nisse übertragen und die elterliche Sorge entsprechend beschränken (Art. 308 Abs. 2 und 3 ZGB).</w:t>
      </w:r>
    </w:p>
    <w:p>
      <w:r>
        <w:rPr>
          <w:b/>
        </w:rPr>
        <w:t>E. 1.2</w:t>
      </w:r>
    </w:p>
    <w:p>
      <w:r>
        <w:t>Zu prüfen ist vorliegend, ob das Wohl des knapp vierjährigen B._____ im Sinne von Art. 307 Abs. 1 ZGB gefährdet ist, wenn er weiterhin nicht oder nur teilweise geimpft ist bzw. eine behördliche Massnahme zur Durchsetzung der Impfungen unterbleibt. 2.</w:t>
      </w:r>
    </w:p>
    <w:p>
      <w:r>
        <w:rPr>
          <w:b/>
        </w:rPr>
        <w:t>E. 2</w:t>
      </w:r>
    </w:p>
    <w:p>
      <w:r>
        <w:t>Der Kindsmutter, A._____, wird gestützt auf Art. 308 Abs. 3 ZGB betreffend Dispositiv-Ziff. 1d) dieses Entscheides die elterliche Sorge eingeschränkt. […]" Die Beschwerdeführerin erhob mit Eingabe vom 9. Mai 2022 Beschwerde beim Bezirksrat Horgen (Vorinstanz) und beantragte, es seien die Dispositiv-Ziffern 1 d) und 2 des Beschlusses der KESB vom 5. April 2022 aufzuheben (BR-act. 1 S. 2). Die Vorinstanz holte eine Vernehmlassung der KESB vom 19. Mai 2022 ein (BR- act. 5 und 6), bestellte B._____ einen Kindsverfahrensvertreter und bewilligte der Beschwerdeführerin die unentgeltliche Rechtspflege, inklusive unentgeltliche Rechtsvertretung (BR-act. 12). Es gingen alsdann Stellungnahmen des Kindsver- fahrensvertreters vom 15. Juli 2022 (BR-act. 14), der Beschwerdeführerin vom 12. September 2022 (BR-act. 18) sowie des Kindsverfahrensvertreters vom 26. September 2022 (BR-act. 21) ein. Der Kindsverfahrensvertreter beantragte</w:t>
      </w:r>
    </w:p>
    <w:p>
      <w:r>
        <w:t>- 3 - die Abweisung der Beschwerde. Mit Urteil vom 1. Dezember 2022 wies die Vor- instanz die Beschwerde ab (BR-act. 25 = act. 4/2 = act. 7 [Aktenexemplar]).</w:t>
      </w:r>
    </w:p>
    <w:p>
      <w:r>
        <w:rPr>
          <w:b/>
        </w:rPr>
        <w:t>E. 2.1</w:t>
      </w:r>
    </w:p>
    <w:p>
      <w:r>
        <w:t>Die Beschwerdeführerin stellt für das obergerichtliche Verfahren ein Gesuch um unentgeltliche Rechtspflege, inklusive unentgeltliche Rechtsverbeiständung.</w:t>
      </w:r>
    </w:p>
    <w:p>
      <w:r>
        <w:t>- 17 -</w:t>
      </w:r>
    </w:p>
    <w:p>
      <w:r>
        <w:rPr>
          <w:b/>
        </w:rPr>
        <w:t>E. 2.2</w:t>
      </w:r>
    </w:p>
    <w:p>
      <w:r>
        <w:t>Eine Person hat Anspruch auf unentgeltliche Rechtspflege, wenn sie nicht über die erforderlichen Mittel verfügt, um den Prozess zu finanzieren, und ihr Rechtsbegehren nicht aussichtslos erscheint (Art. 117 lit. a und b ZPO). Die Mittellosigkeit der Beschwerdeführerin ergibt sich aus den bei den Akten lie- genden Unterlagen (vgl. act. 2 S. 9 ff.; act. 4/7-10) und das Verfahren ist nicht als von vornherein aussichtslos zu betrachten. Der Beschwerdeführerin ist die unent- geltliche Rechtspflege für das obergerichtliche Verfahren zu bewilligen und Rechtsanwältin MLaw X._____ als unentgeltliche Rechtsbeiständin zu bestellen. Die Rechtsbeiständin wird der Kammer noch eine Aufstellung über ihre Auslagen und Bemühungen einzureichen haben, so dass in einem separaten Beschluss über die Entschädigung befunden werden kann. Die Beschwerdeführerin ist da- rauf hinzuweisen, dass sie zur Nachzahlung verpflichtet ist, sobald sie dazu in der Lage ist (Art. 123 ZPO). Es wird beschlossen:</w:t>
      </w:r>
    </w:p>
    <w:p>
      <w:r>
        <w:rPr>
          <w:b/>
        </w:rPr>
        <w:t>E. 2.3</w:t>
      </w:r>
    </w:p>
    <w:p>
      <w:r>
        <w:t>Die Beschwerdeführerin wendet gegen einen behördlichen Entscheid ein, es gebe in der Schweiz keinen Impfzwang bzw. kein gesetzliches Impfobligatorium (act. 2 S. 6 ff.). Allerdings hat das Bundesgericht klargestellt, dass sich allein nach Massgabe der privaten Situation des Kindes bestimme, ob das Wohl des Kindes im privatrechtlichen Sinn von Art. 307 Abs. 1 ZGB gefährdet sei, wogegen sich die Voraussetzungen, unter denen eine Impfung (auf eidgenössischer oder kantona- ler Ebene) obligatorisch erklärt werden könne, nicht an der individuellen Situation einer (minderjährigen) Einzelperson orientiere, sondern an der Gefährdung von Bevölkerungs- oder Personengruppen. Allein der Umstand, dass mit Bezug auf eine übertragbare Krankheit eine Impfung nicht für obligatorisch erklärt werde, sondern von der eidgenössischen Gesundheitsbehörde lediglich empfohlen wer-</w:t>
      </w:r>
    </w:p>
    <w:p>
      <w:r>
        <w:t>- 13 - de, bedeute nicht, dass es sich auch mit dem Kindeswohl vertrage, auf die Imp- fung gegen die fragliche Infektionskrankheit zu verzichten (BGE 146 III 313 E. 6.2.4). Der Entscheid, ein Kind unter konkreten Umständen zu impfen, ist nicht mit der allgemeinen Impfpflicht gleichzusetzen.</w:t>
      </w:r>
    </w:p>
    <w:p>
      <w:r>
        <w:rPr>
          <w:b/>
        </w:rPr>
        <w:t>E. 2.4</w:t>
      </w:r>
    </w:p>
    <w:p>
      <w:r>
        <w:t>Die Beschwerdeführerin macht weiter geltend, das Bundesgericht habe das aus der persönlichen Freiheit fliessende Entscheidungsrecht der Eltern, ihr Kind nicht impfen zu lassen, geschützt. Ein Anwendungsbereich von Art. 307 Abs. 1 ZGB liege gemäss Bundesgericht erst dann vor, wenn die sorgeberechtigten El- tern sich bei der Frage der Impfung nicht einig seien, und einzig dann rechtfertige sich ein Einschreiten der Kindesschutzbehörde (act. 2 S. 6). Richtig ist, dass das Bundesgericht auf die Grundüberzeugung verwies, wonach die Familien- bzw. Elternautonomie in Bezug auf alle Kinderbelange gegenüber staatlichen Interventionen Vorrang geniessen soll, und festhielt, dass in diesem Sinn auch eine von beiden gemeinsam sorgeberechtigten Eltern getroffene Ent- scheidung, ihr Kind nicht gegen die Masern zu impfen, grundsätzlich zu respektie- ren wäre. Unter welchen Voraussetzungen sich die zuständige Behörde zum Schutz des Kindes trotzdem über eine solche gemeinsame elterliche Entschei- dung hinwegsetzen könnte, brauche an dieser Stelle nicht erörtert zu werden (BGE 146 III 313 E. 6.2.3; vgl. a. BGer 5A_118/2022 vom 15. März 2022 E. 5.2). Damit hat das Bundesgericht den wichtigen Grundsatz betont, dass die primäre Entscheidungskompetenz über das Kind den sorgeberechtigten Eltern zusteht und nicht dem Staat (vgl. BSK ZGB I-SCHWENZER/COTTIER, Art. 301 N 2 m.H.). Staat und Behörden haben den Vorrang privater Verantwortung zu akzeptieren und sich grundsätzlich in die private Lebensgestaltung und die individuellen Le- bensentwürfe nicht einzumischen (vgl. BSK ZGB I-BREITSCHMID, Art. 307 N 6). Entsprechend werden die Kindesschutzbehörden denn auch ohne Anhaltspunkte für eine Kindswohlgefährdung nicht aktiv und greifen sie ohne konkreten Anlass in die Autonomie der Eltern nicht ein. Gleichzeitig hat das Bundesgericht darauf hin- gewiesen, dass unter Umständen zum Schutze des Kindes die elterliche Ent- scheidungszuständigkeit derogiert werden muss (wobei es offen lassen konnte, unter welchen Voraussetzungen dies der Fall ist). Allgemein ist dazu festzuhalten,</w:t>
      </w:r>
    </w:p>
    <w:p>
      <w:r>
        <w:t>- 14 - dass die elterliche Entscheidungskompetenz beschränkt ist durch das Kindeswohl und der Staat mit Kindesschutzmassnahmen eingreifen muss, wenn die Grenze zur Gefährdung des Kindeswohls überschritten ist (BSK ZGB I- SCHWENZER/COTTIER, Art. 301 N 2; BK ZGB-AFFOLTER-FRINGELI/VOGEL, Art. 301 N 8, 15; LANGER, a.a.O., ZSR 2017 I, S. 104). Mit Blick auf die gesundheitlichen Ge- fahren und Risiken, denen ein Kind ohne Impfschutz ausgesetzt ist, wurde ausge- führt, dass eine solche Gefährdung des Kindeswohls zu bejahen ist. Dies ist na- mentlich auch zu betonen, soweit die Beschwerdeführerin ihre eigene persönliche Freiheit hervorstreicht. Diese ist zwar durchaus zu respektieren, steht aber hier nicht im Zentrum. Oberste Maxime des Kindesrechts ist das Kindeswohl (vgl. BGE 132 III 359 E. 4.4.2). Massgebend kann vorliegend auch nicht sein, dass es nicht um ein Patt zwischen zwei sorgeberechtigten Elternteilen geht, sondern die Beschwerdeführerin alleinige Inhaberin der elterlichen Sorge ist. Am Bedürfnis und Anspruch B._____s auf Schutz seiner Gesundheit ändert dies nichts. Sodann ist zu berücksichtigen, dass die spezifische Situation B._____s mindestens so sehr eine behördliche Entscheidung verlangt wie ein Patt der Eltern: Zum Schutze von B._____ musste die KESB bereits unmittelbar nach der Geburt Kindes- schutzmassnahmen treffen und B._____ bei Pflegeeltern unterbringen. Bei diesen Pflegeeltern lebt B._____ seither und es ist nicht zu sehen, dass sich dies in Zu- kunft ändern sollte. Die Pflegeeltern nehmen – ohne dass ihnen formell das Sor- gerecht zukommt – an der Ausübung der elterlichen Sorge für B._____ teil. Sie kümmern sich um ihn und nehmen seine tägliche Erziehung wahr. Umgekehrt ist bis heute das Besuchsrecht der Beschwerdeführerin auf zweimal pro Woche wäh- rend maximal zwei Stunden im Beisein einer Fachperson beschränkt. Unter die- sen Umständen ist es angebracht, die Pflegeeltern nicht nur anzuhören (vgl. Art. 300 Abs. 2 ZGB), sondern ihre Haltung und Meinung auch angemessen mit zu berücksichtigen. Wie der Beistand (vgl. KESB-act. 277) und der Kindsverfahrens- vertreter (vgl. BR-act. 14 und 21) haben sich die Pflegeeltern vorliegend deutlich für eine Impfung B._____s ausgesprochen (KESB-act. 309 und 310).</w:t>
      </w:r>
    </w:p>
    <w:p>
      <w:r>
        <w:rPr>
          <w:b/>
        </w:rPr>
        <w:t>E. 2.5</w:t>
      </w:r>
    </w:p>
    <w:p>
      <w:r>
        <w:t>Die Beschwerdeführerin hält schliesslich dafür, sie sei zum einen nicht ge- halten, ihren Entscheid gegen Impfungen mit "vernünftigen" Argumenten zu be- gründen, zum andern zeuge es von einer gewissen Arroganz der Kindesschutz-</w:t>
      </w:r>
    </w:p>
    <w:p>
      <w:r>
        <w:t>- 15 - behörden, wenn sinngemäss angenommen werde, einzig eine Person, welche der Impfthematik positiv gegenüberstehe, könne diesbezüglich einen vernünftigen Entscheid treffen (act. 2 S. 7). Wie vorne ausgeführt, haben sich die Kindesschutzbehörden und Gerichte an den Empfehlungen des BAG als fachkompetente eidgenössische Behörde zu orientie- ren und nur dort von der Empfehlung abzuweichen, wo sich die Impfung aufgrund der besonderen Umstände des konkreten Falles nicht mit dem Kindeswohl ver- trägt. Damit ist über die medizinische Impfempfehlung als solche gar nicht zu be- finden und ist nicht massgeblich, mit welchen ("rationalen" oder "irrationalen") Ar- gumenten die Beschwerdeführerin die Empfehlung in Frage stellt. "Vernünftige" Argumente wären aber erforderlich, soweit die Beschwerdeführerin geltend ma- chen wollte, dass spezifisch bei B._____ eine Impfung nicht angezeigt wäre. Sol- che Gründe legt sie nicht dar und sind nicht ersichtlich.</w:t>
      </w:r>
    </w:p>
    <w:p>
      <w:r>
        <w:rPr>
          <w:b/>
        </w:rPr>
        <w:t>E. 2.6</w:t>
      </w:r>
    </w:p>
    <w:p>
      <w:r>
        <w:t>Nach dem Ausgeführten sind Anordnungen zur Durchführung der Basisimp- fungen als Kindesschutzmassnahme bei B._____ grundsätzlich angezeigt. Zu prüfen bleibt, ob die konkrete Massnahme verhältnismässig ist.</w:t>
      </w:r>
    </w:p>
    <w:p>
      <w:r>
        <w:rPr>
          <w:b/>
        </w:rPr>
        <w:t>E. 3</w:t>
      </w:r>
    </w:p>
    <w:p>
      <w:r>
        <w:t>Der Grundsatz der Verhältnismässigkeit verlangt, dass die verfügte Mass- nahme geeignet und erforderlich ist, um die Kindswohlgefährdung abzuwenden (vgl. Art. 389 Abs. 2 i.V.m. Art. 440 Abs. 3 ZGB). Vorliegend ist nicht ersichtlich, dass die streitigen Impfungen nicht geeignet und erforderlich wären, um B._____ nachhaltig gegen die vorne erwähnten Krankheiten zu schützen bzw. dass dies auch mit milderen Massnahmen möglich wäre. Geeignet und erforderlich ist auch die zwecks Durchführung der Impfungen angeordnete entsprechende Einschrän- kung der elterlichen Sorge und Übertragung auf den Beistand. Die Einschränkung der elterlichen Sorge erfordert dabei nicht, dass die Sorgeberechtigten urteilsun- fähig sind, wie es die KESB sowie der Kindesvertreter anzunehmen scheinen. Es kommt daher nicht darauf an, ob sich die Beschwerdeführerin zur Frage der Imp- fung von B._____ eine (abweichende) eigene Meinung bilden kann. Zunächst ist darauf hinzuweisen, dass die KESB von Beginn weg in Nachachtung des Verhält- nismässigkeitsgrundsatzes handelte und der Beschwerdeführerin nur das Aufent- haltsbestimmungsrecht entzog, die elterliche Sorge aber beliess. Letztere soll nun</w:t>
      </w:r>
    </w:p>
    <w:p>
      <w:r>
        <w:t>- 16 - punktuell eingeschränkt, im Übrigen der Beschwerdeführerin aber weiterhin be- lassen werden. Die Anordnung ermöglicht es dem Beistand, einerseits dafür be- sorgt zu sein, dass B._____ die erforderlichen Impfungen erhält, anderseits aber auch sicherzustellen, dass hinsichtlich der einzelnen Impfungen ärztlich abgeklärt bzw. eingeschätzt wird, ob sie nicht ausnahmsweise kontraindiziert sein könnten (vgl. dazu etwa Empfehlungen BAG zur Prävention von Masern, Mumps und Rö- teln, S. 33 f.). Sie erlaubt auch, allfällig notwendige Zweit- oder Auffrischimpfun- gen zu veranlassen. Eine blosse Weisung an die Beschwerdeführerin – welche die Impfungen vehement ablehnt und in der Vergangenheit soweit ging, die Mitar- beitenden der zuständigen Arztpraxis wegen der Impffrage zu bedrängen (vgl. KESB-act. 301; vorne E. III.1) – würde ein geordnetes und zeitnahes Vorgehen nicht sicherstellen. Damit ist auch die Verhältnismässigkeit der Massnahme zu bejahen.</w:t>
      </w:r>
    </w:p>
    <w:p>
      <w:r>
        <w:rPr>
          <w:b/>
        </w:rPr>
        <w:t>E. 4</w:t>
      </w:r>
    </w:p>
    <w:p>
      <w:r>
        <w:t>Die Beschwerde ist abzuweisen und das Urteil der Vorinstanz vom 1. De- zember 2022 sowie der Beschluss der KESB vom 5. April 2022 sind zu bestäti- gen. V. 1. Die Entscheidgebühr für das vorliegende Beschwerdeverfahren wird auf Fr. 800.– festgesetzt (§ 5 Abs. 1 und § 8 Abs. 1 GebV OG). Ausgangsgemäss sind die Kosten der Beschwerdeführerin aufzuerlegen (Art. 106 Abs. 1 ZPO; s. zur Bewilligung der unentgeltlichen Rechtspflege sogleich E. 2). Parteientschädigun- gen sind keine zuzusprechen, der Beschwerdeführerin nicht, da sie unterliegt, dem Verfahrensbeteiligten nicht, da ihm keine Aufwendungen entstanden sind, die zu entschädigen wären.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