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PQ220010 vom 15. März 2022</w:t>
      </w:r>
    </w:p>
    <w:p>
      <w:r>
        <w:t>ZH Obergericht, 2022-03-15, DE</w:t>
      </w:r>
    </w:p>
    <w:p>
      <w:r>
        <w:rPr>
          <w:b/>
        </w:rPr>
        <w:t xml:space="preserve">Quelle: </w:t>
      </w:r>
      <w:r>
        <w:t>https://mcp.opencaselaw.ch/entscheid/zh_obergericht_PQ220010</w:t>
      </w:r>
    </w:p>
    <w:p>
      <w:r>
        <w:t>FR: ZH_OBERGERICHT PQ220010 du 15 mars 2022</w:t>
      </w:r>
    </w:p>
    <w:p>
      <w:r>
        <w:t>IT: ZH_OBERGERICHT PQ220010 del 15 marzo 2022</w:t>
      </w:r>
    </w:p>
    <w:p>
      <w:pPr>
        <w:pStyle w:val="Heading2"/>
      </w:pPr>
      <w:r>
        <w:t>Erwägungen</w:t>
      </w:r>
    </w:p>
    <w:p>
      <w:r>
        <w:rPr>
          <w:b/>
        </w:rPr>
        <w:t>E. 1</w:t>
      </w:r>
    </w:p>
    <w:p>
      <w:r>
        <w:t>Die Beschwerdeführerin ist die Mutter von D._____, geb. tt.mm 2005, B._____, geb. tt.mm 2011, sowie C._____, geb. tt.mm 2013. Für die Kinder B._____ und C._____ führt die Kindes- und Erwachsenenschutzbehörde der Stadt Zürich (KESB) Beistandschaften gemäss Art. 308 Abs. 2 ZGB. Beiständin war zunächst E._____. Mit Beschlüssen vom 2. März 2021 ernannte die KESB F._____ zum neuen Beistand der Kinder (act. 7 S. 2).</w:t>
      </w:r>
    </w:p>
    <w:p>
      <w:r>
        <w:rPr>
          <w:b/>
        </w:rPr>
        <w:t>E. 2</w:t>
      </w:r>
    </w:p>
    <w:p>
      <w:r>
        <w:t>Am 14. März 2021 reichte die frühere Beiständin, E._____, die Rechen- schaftsberichte für die Zeit vom 22. November 2019 bis 31. Oktober 2020 ein. Das zuständige Behördenmitglied der KESB genehmigte die Rechenschaftsbe- richte mit Verfügungen Nr. 2221 und 2222 vom 22. April 2021. Der neue Beistand wurde eingeladen, per 31. Oktober 2022 den nächsten Rechenschaftsbericht ein- zureichen. Die Gebühr für beide Genehmigungen wurde auf Fr. 250.– festgesetzt, zufolge Gewährung der unentgeltlichen Prozessführung jedoch einstweilen auf die Amtskasse genommen, unter Vorbehalt der Nachzahlungspflicht (act. 8/2+3). Gegen die Verfügungen vom 22. April 2021 erhob die Beschwerdeführerin Be- schwerde beim Bezirksrat Zürich (Vorinstanz). Die Vorinstanz wies mit Entscheid vom 27. Januar 2022 die Beschwerde ab, soweit sie auf sie eintrat, und verzichte- te auf die Erhebung einer Entscheidgebühr sowie die Zusprechung einer Partei- entschädigung (act. 7).</w:t>
      </w:r>
    </w:p>
    <w:p>
      <w:r>
        <w:rPr>
          <w:b/>
        </w:rPr>
        <w:t>E. 3</w:t>
      </w:r>
    </w:p>
    <w:p>
      <w:r>
        <w:t>Am 9. März 2022 ging bei der Kammer ein am 6. März 2022 zur Post gege- benes, nicht unterzeichnetes und mit dem Datum vom "3. Februar 2022" verse- henes Schreiben mit folgendem Inhalt ein (act. 2): "Mit diesem Schreiben erhebe ich Einsprache gegen die Bezirksrats- Verfügung, -entschluss VO.2021.68/3.02.10, weil diese nicht richtig ist. Weitere vertiefte Begründungen folgen."</w:t>
      </w:r>
    </w:p>
    <w:p>
      <w:r>
        <w:rPr>
          <w:b/>
        </w:rPr>
        <w:t>E. 4</w:t>
      </w:r>
    </w:p>
    <w:p>
      <w:r>
        <w:t>Die Akten der Vorinstanz (act. 8/1-14) wurden von Amtes wegen beigezogen (act. 4). Das Verfahren ist spruchreif. II.</w:t>
      </w:r>
    </w:p>
    <w:p>
      <w:r>
        <w:t>- 3 - 1.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Erwachsenenschutzrechts im ZGB zwei gerichtliche Beschwer- deinstanzen, als erste Beschwerdeinstanz den Bezirksrat und als zweite das Obergericht. 2. Gegen den Entscheid des Bezirksrats kann innert 30 Tagen seit dessen Zu- stellung bei der Kammer schriftlich Beschwerde erhoben werden (Art. 450b ZGB). Vorliegend wurde der Beschwerdeführerin der Entscheid der Vorinstanz vom 27. Januar 2022 am 7. Februar 2022 zugestellt (act. 8/14). Mit der Postaufgabe vom 6. März 2022 (act. 2) hat die Beschwerdeführerin die Frist von 30 Tagen ge- wahrt. 3.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 SE/STECK, Art. 450a N 3 und 10). Im Verfahren vor der KESB und in den gerichtli- 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w:t>
      </w:r>
    </w:p>
    <w:p>
      <w:r>
        <w:t>- 4 - reich der Untersuchungsmaxime (Art. 446 ZGB, §§ 65 und 67 EG KESR; BGE 141 III 569 E. 2.3.3 mit Hinweis auf BGE 138 III 374 E. 4.3.1). Die Beschwer- deinstanz darf sich primär auf die geltend gemachten Rügen und Anträge kon- zentrieren (BSK ZGB I-DROESE/STECK, Art. 450a N 5). Bei der Beurteilung von Laieneingaben dürfen sowohl hinsichtlich der Anträge wie auch der Begründung keine überspitzten Anforderungen gestellt werden. Blosse Wiederholungen des bereits vor der Vorinstanz Dargelegten genügen aber auch bei Laien nicht. Vorliegend hat die Beschwerdeführerin ihre "Einsprache" – trotz korrekter vorinstanzlicher Rechtsmittelbelehrung (act. 7 S. 7 Dispositiv-Ziffer IV) – nicht be- gründet, sondern einzig erklärt, der vorinstanzliche Entscheid sei "nicht richtig" (act. 2). Dies genügt nicht. Mangels Begründung ist auf die Beschwerde nicht ein- zutreten. Soweit die Beschwerdeführerin in Aussicht stellt, eine vertiefte Begrün- dung nachzuliefern (act. 2), so ist dies unbeachtlich, zumal die Beschwerdefrist abgelaufen ist. III. Die Beschwerdeführerin wird bei diesem Ausgang des Verfahrens an sich kos- tenpflichtig (Art. 106 Abs. 1 ZPO). Umständehalber ist indes auf die Erhebung von Kosten zu verzichten. Eine 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