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PQ220004 vom 21. Februar 2022</w:t>
      </w:r>
    </w:p>
    <w:p>
      <w:r>
        <w:t>ZH Obergericht, 2022-02-21, DE</w:t>
      </w:r>
    </w:p>
    <w:p>
      <w:r>
        <w:rPr>
          <w:b/>
        </w:rPr>
        <w:t xml:space="preserve">Quelle: </w:t>
      </w:r>
      <w:r>
        <w:t>https://mcp.opencaselaw.ch/entscheid/zh_obergericht_PQ220004</w:t>
      </w:r>
    </w:p>
    <w:p>
      <w:r>
        <w:t>FR: ZH_OBERGERICHT PQ220004 du 21 février 2022</w:t>
      </w:r>
    </w:p>
    <w:p>
      <w:r>
        <w:t>IT: ZH_OBERGERICHT PQ220004 del 21 febbraio 2022</w:t>
      </w:r>
    </w:p>
    <w:p>
      <w:pPr>
        <w:pStyle w:val="Heading2"/>
      </w:pPr>
      <w:r>
        <w:t>Erwägungen</w:t>
      </w:r>
    </w:p>
    <w:p>
      <w:r>
        <w:rPr>
          <w:b/>
        </w:rPr>
        <w:t>E. 1</w:t>
      </w:r>
    </w:p>
    <w:p>
      <w:r>
        <w:t>Die Parteien sind die seit dem 30. Dezember 2016 geschiedenen Eltern von C._____, geboren tt.mm.2004 (KESB-act. 126). Seit dem 4. Mai 2011 besteht für C.____ eine Beistandschaft nach Art. 308 Abs. 1 und 2 ZGB, welche seit 2016 von der Kindes- und Erwachsenenschutzbehörde der Stadt Zürich (fortan KESB) geführt wird. Mit Entscheid vom 21. Januar 2020 ernannte die KESB D._____ als neue Beiständin (KESB-act. 128), nachdem es zuvor aus organisatorischen Gründen wiederholt zu Wechseln bei der Beistandsperson gekommen war. Im Zusammenhang mit der Beistandschaft gelangte der Beschwerdeführer verschie- dene Male mit Anliegen an die KESB, die Kammer war in verschiedenen Rechts- mittelverfahren damit befasst. Letztmals entschied die Kammer über Beschwer- den des Beschwerdeführers am 28. September 2020 (Verfahren PQ200042 und PQ200047) sowie am 9. November 2020 (Verfahren PQ200046; vgl. KESB-act. 143, 144 und 146).</w:t>
      </w:r>
    </w:p>
    <w:p>
      <w:r>
        <w:rPr>
          <w:b/>
        </w:rPr>
        <w:t>E. 2</w:t>
      </w:r>
    </w:p>
    <w:p>
      <w:r>
        <w:t>Am 4. November 2020 erstellte die Beiständin ihren Rechenschaftsbericht über die Berichtsperiode vom 1. September 2018 bis 31. August 2020 (KESB- act. 149). Diesen genehmigte die KESB mit Verfügung vom 9. Februar 2021. Gleichzeitig wurde die Beiständin eingeladen, auf den Zeitpunkt der Volljährigkeit von C._____ (tt.mm.2022) ihren Schlussbericht einzureichen. Die Gebühren in der Höhe von CHF 400.00 auferlegte sie den Eltern je zur Hälfte (KESB-act. 150).</w:t>
      </w:r>
    </w:p>
    <w:p>
      <w:r>
        <w:rPr>
          <w:b/>
        </w:rPr>
        <w:t>E. 3</w:t>
      </w:r>
    </w:p>
    <w:p>
      <w:r>
        <w:t>Gegen die Verfügung der KESB erhob der Beschwerdeführer mit Eingabe vom 22. März 2021 Beschwerde beim Bezirksrat (BR-act. 1), worauf der Bezirks- ratspräsident der KESB mit Verfügung vom 24. März 2021 Frist zur Vernehmlas- sung und der Beschwerdegegnerin zur Beantwortung ansetzte (BR-act. 4). Nach Eingang der Stellungnahmen (BR-act. 6 und 7) nahm der Bezirksratspräsident mit Verfügung vom 26. April 2021 Vormerk vom Eingang der Eingaben und überliess diese dem Beschwerdeführer zur freigestellten Stellungnahme (BR-act. 9). Unter Hinweis auf das vom Beschwerdeführer gestellte Gesuch um Gewährung der un- entgeltlichen Rechtspflege sowie Akteneinsicht, setzte der Bezirksrat dem Be-</w:t>
      </w:r>
    </w:p>
    <w:p>
      <w:r>
        <w:t>- 3 - schwerdeführer mit Präsidialverfügung vom 5. Oktober 2021 eine Frist von 10 Ta- gen ab Erhalt der Verfügung, um seine Mittellosigkeit durch Einreichung entspre- chender Unterlagen nachzuweisen. Bei Säumnis oder Einreichung ungenügender Belege werde das Gesuch um unentgeltliche Rechtspflege abgewiesen (BR- act. 11). In der Folge ersuchte der Beschwerdeführer am 22. Oktober 2021 (BR- act. 12), am 1. Dezember 2021 (BR-act. 13 = BR-act. 15), am 20. Dezember 2021 (BR-act. 16) und am 10. Januar 2022 (BR-act. 18) um Fristerstreckung, welche ihm am 2. Dezember 2021 erstmals, und am 21. Dezember 2021 erneut letztmals gewährt wurde (BR-act. 15, 16 und 17/1). Ein neuerliches Gesuch vom 10. Januar 2022 (BR-act. 18) wies der Bezirksrat mit Präsidialverfügung vom 18. Januar 2022 ab. Gleichzeitig setzte er dem Beschwerdeführer eine nicht erstreckbare Notfrist von 5 Tagen ab Zustellung der Verfügung (BR-act. 20). Die Verfügung ging dem Beschwerdeführer am 26. Januar 2022 zu (BR-act. 20/1). Am 31. Janu- ar 2022 ersuchte der Beschwerdeführer den Bezirksrat, ihm die Frist abzunehmen (BR-act. 21).</w:t>
      </w:r>
    </w:p>
    <w:p>
      <w:r>
        <w:rPr>
          <w:b/>
        </w:rPr>
        <w:t>E. 4</w:t>
      </w:r>
    </w:p>
    <w:p>
      <w:r>
        <w:t>Bei diesem Ergebnis erübrigt es sich, auf die weiteren Vorbringen des Be- schwerdeführers einzugehen. Nicht weiter einzugehen ist insbesondere auf die Aufforderung des Beschwerdeführers, der Bezirksratspräsident sowie die juristi- sche Sekretärin hätten in den Ausstand zu treten. Für die Beurteilung eines Aus- standsbegehrens gegen die Mitwirkenden der angefochtenen Verfügung ist nicht das Obergericht, sondern der Bezirksrat zuständig (Art. 49 ZPO), wo der Be- schwerdeführer denn auch ein solches Begehren gestellt hat (BR-act. 23).</w:t>
      </w:r>
    </w:p>
    <w:p>
      <w:r>
        <w:rPr>
          <w:b/>
        </w:rPr>
        <w:t>E. 5</w:t>
      </w:r>
    </w:p>
    <w:p>
      <w:r>
        <w:t>Umständehalber ist auf die Erhebung von Kosten zu verzichten. Das auch für das vorliegende Beschwerdeverfahren gestellte Gesuch um Gewährung der unentgeltlichen Rechtspflege ist damit abzuschreiben.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