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PQ210047 vom 23. Juli 2021</w:t>
      </w:r>
    </w:p>
    <w:p>
      <w:r>
        <w:t>ZH Obergericht, 2021-07-23, DE</w:t>
      </w:r>
    </w:p>
    <w:p>
      <w:r>
        <w:rPr>
          <w:b/>
        </w:rPr>
        <w:t xml:space="preserve">Quelle: </w:t>
      </w:r>
      <w:r>
        <w:t>https://mcp.opencaselaw.ch/entscheid/zh_obergericht_PQ210047</w:t>
      </w:r>
    </w:p>
    <w:p>
      <w:r>
        <w:t>FR: ZH_OBERGERICHT PQ210047 du 23 juillet 2021</w:t>
      </w:r>
    </w:p>
    <w:p>
      <w:r>
        <w:t>IT: ZH_OBERGERICHT PQ210047 del 23 luglio 2021</w:t>
      </w:r>
    </w:p>
    <w:p>
      <w:pPr>
        <w:pStyle w:val="Heading2"/>
      </w:pPr>
      <w:r>
        <w:t>Erwägungen</w:t>
      </w:r>
    </w:p>
    <w:p>
      <w:r>
        <w:rPr>
          <w:b/>
        </w:rPr>
        <w:t>E. 1</w:t>
      </w:r>
    </w:p>
    <w:p>
      <w:r>
        <w:t>Die Kindes- und Erwachsenenschutzbehörde des Bezirkes Horgen (nachfol- gend KESB) entschied mit Beschluss vom 18. Mai 2021 (act. 7/2) diverse Mass- nahmen in Bezug auf C._____, die Ehefrau des Beschwerdeführers. Einer allfälli- gen Beschwerde gegen die Dispositiv-Ziffern 1 bis 7 dieses Entscheides wurde dabei in Ziffer 15 die aufschiebende Wirkung entzogen. Der Beschwerdeführer erhob mit Eingabe vom 18. Juni 2021 Beschwerde gegen diverse Ziffern des Beschlusses der KESB und verlangte sodann, dass die auf- schiebende Wirkung der Beschwerde unverzüglich mittels superprovisorischer Verfügung bis zum Ende des Beschwerdeverfahrens wieder hergestellt werde (act. 7/1, Rechtsbegehren A). Weiter verlangte er, dass ihm unverzüglich eine Ur- kunde im Sinne von Art. 376 ZGB auszuhändigen sei (act. 7/1, Rechtsbegehren B). Der Bezirksrat Horgen (nachfolgend Vorinstanz) wies die superprovisorischen An- träge des Beschwerdeführers mit Präsidialverfügung vom 23. Juni 2021 ab (act. 7/6 = act. 6), wogegen dieser bei der Kammer mit Eingabe vom 8. Juli 2021 Beschwerde erhob (act. 2). Er beantragt die Aufhebung der vorinstanzlichen Prä- sidialverfügung und die unverzügliche Wiederherstellung der aufschiebenden Wirkung der Beschwerde. Weiter verlangte er erneut die unverzügliche Ausstel- lung einer Urkunde im Sinne von Art. 376 ZGB, damit er als gesetzlicher Vertreter seiner Ehefrau handeln könne.</w:t>
      </w:r>
    </w:p>
    <w:p>
      <w:r>
        <w:rPr>
          <w:b/>
        </w:rPr>
        <w:t>E. 2</w:t>
      </w:r>
    </w:p>
    <w:p>
      <w:r>
        <w:t>Die Beschwerde richtet sich gegen einen Entscheid des Bezirksrates mit welchem die superprovisorischen Anträge des Beschwerdeführers abgewiesen wurden. Nach der Rechtsprechung sind superprovisorische Anordnungen grund- sätzlich nicht anfechtbar (vgl. zum Ganzen OGer ZH PQ130029 vom 12. Septem- ber 2013 sowie BGE 137 III 417, BGE 140 III 289 und BGE 140 III 529). Was für superprovisorische Anordnungen gilt, gilt auch in Bezug auf die Abweisung eines superprovisorischen Antrages durch die Vorinstanz. Richtigerweise hatte die Vor- instanz in ihrem Entscheid vom 23. Juni 2021 auch kein Rechtsmittel belehrt. Auf die Beschwerde ist damit nicht einzutreten.</w:t>
      </w:r>
    </w:p>
    <w:p>
      <w:r>
        <w:t>- 3 - Es ist auf den Umstand hinzuweisen, dass die Vorinstanz der Gegenseite mit der Präsidialverfügung von 23. Juni 2021 Frist zur Stellungnahme angesetzt hat und nach Eingang derselbigen (auch) über die vorliegend in Frage stehenden Anträge des Beschwerdeführers (erneut) zu entscheiden haben wird. Gegen diesen Ent- scheid steht dann der Rechtsmittelweg offen.</w:t>
      </w:r>
    </w:p>
    <w:p>
      <w:r>
        <w:rPr>
          <w:b/>
        </w:rPr>
        <w:t>E. 3</w:t>
      </w:r>
    </w:p>
    <w:p>
      <w:r>
        <w:t>Bei diesem Ausgang des Verfahrens wird der Beschwerdeführer für das vor- liegende Beschwerdeverfahren kostenpflichtig (Art. 106 Abs. 1 ZPO). Die Ent- scheidgebühr ist auf Fr. 100.– festzusetzen. Ausgangsgemäss sind keine Partei- entschädigung zuzusprechen. Dem Beschwerdeführer nicht, da er vorliegend un- terliegt, der Gegenpartei nicht, da ihr mit dem vorliegenden Verfahren keine Um- 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