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PQ210044 vom 12. Juli 2021</w:t>
      </w:r>
    </w:p>
    <w:p>
      <w:r>
        <w:t>ZH Obergericht, 2021-07-12, DE</w:t>
      </w:r>
    </w:p>
    <w:p>
      <w:r>
        <w:rPr>
          <w:b/>
        </w:rPr>
        <w:t xml:space="preserve">Quelle: </w:t>
      </w:r>
      <w:r>
        <w:t>https://mcp.opencaselaw.ch/entscheid/zh_obergericht_PQ210044</w:t>
      </w:r>
    </w:p>
    <w:p>
      <w:r>
        <w:t>FR: ZH_OBERGERICHT PQ210044 du 12 juillet 2021</w:t>
      </w:r>
    </w:p>
    <w:p>
      <w:r>
        <w:t>IT: ZH_OBERGERICHT PQ210044 del 12 luglio 2021</w:t>
      </w:r>
    </w:p>
    <w:p>
      <w:pPr>
        <w:pStyle w:val="Heading2"/>
      </w:pPr>
      <w:r>
        <w:t>Erwägungen</w:t>
      </w:r>
    </w:p>
    <w:p>
      <w:r>
        <w:rPr>
          <w:b/>
        </w:rPr>
        <w:t>E. 1</w:t>
      </w:r>
    </w:p>
    <w:p>
      <w:r>
        <w:t>A1._____ (im vorliegenden Verfahren Beschwerdeführerin) und B1._____ (Beschwerdeführer) heirateten im August 2010 in Neuseeland und zogen kurz da- rauf in die Schweiz. Die Ehefrau (Schweizerbürgerin) wählte den Doppelnamen "AB._____" (Art. 160 Abs. 2 aZGB). Am 27. März 2012 änderte der Ehemann in London seine Vor- und Nachnamen von "B1._____" auf "B._____". Diese Na- mensänderung wurde in der Schweiz anerkannt. Am tt.mm.2018 kam die gemeinsame Tochter C._____ (nachfolgend C._____) zur Welt. Die Eltern wollten das Kind mit dem Nachnamen "AB._____" anmelden. Das Zivilstandsamt D._____ lehnte diesen Nachnamen ab und forder- te die Eltern auf, einen gesetzmässigen Namen zu bestimmen. Das Gemeinde- amt des Kantons Zürich sowie das Verwaltungsgericht des Kantons Zürich wiesen die jeweils dagegen erhobenen Rechtsmittel ab. Das Bundesgericht wies mit Ur- teil vom 21. November 2019 die dagegen erhobene Beschwerde ab und setzte den Beschwerdeführern eine neue Frist bis 31. Januar 2020 an, um zu bestim- men, welchen ihrer Ledigennamen ("A1._____" bzw. "B1._____") die Tochter C._____ tragen sollte (BGer 5A_73/2019 vom 21. November 2019). Am 13. Mai 2020 erstattete das Zivilstandsamt D._____ der Kindes- und Er- wachsenenschutzbehörde Dietlikon (nachfolgend KESB) eine Gefährdungsmel- dung, da die Beschwerdeführer trotz mehrmaliger Aufforderung ihrer Pflicht zur Bestimmung eines gesetzmässigen Namens für C._____ nicht nachgekommen seien und eine Registrierung von C._____ daher bis dato nicht möglich gewesen sei, weshalb das Kind weder eine Geburtsurkunde noch einen AHV-Ausweis noch einen Reiseausweis besitze. Die KESB werde daher ersucht, die notwendige Massnahmen zwecks Namensbestimmung (Familiennamen) in die Wege zu leiten (KESB-act. 1).</w:t>
      </w:r>
    </w:p>
    <w:p>
      <w:r>
        <w:t>- 3 - Mit Entscheid vom 17. Dezember 2020 bestimmte die KESB daher für C._____ sowie die zwischenzeitlich am tt.mm.2020 geborene zweite Tochter der Beschwerdeführer, E._____, als Familienname "A1._____" (KESB-act. 14). Gegen diesen Entscheid erhoben die Beschwerdeführer mit Eingabe vom</w:t>
      </w:r>
    </w:p>
    <w:p>
      <w:r>
        <w:rPr>
          <w:b/>
        </w:rPr>
        <w:t>E. 2</w:t>
      </w:r>
    </w:p>
    <w:p>
      <w:r>
        <w:t>Gegen diesen Entscheid erhoben die Beschwerdeführer mit Eingabe vom 21. Juni 2021 rechtzeitig (vgl. BR-act. 23 i.V.m. act. 2 S. 1) die vorliegend zu be- urteilende Beschwerde. Sie beantragen sinngemäss die Aufhebung des ange- fochtenen Urteils und machen eine Schadenersatz- sowie Genugtuungsforderung geltend. Die Akten des Bezirksrats (act. 9/1-24, zitiert als "BR-act.") sowie der KESB (act. 11/1-28 und 12/1-13, aus act. 11 [C._____] zitiert als "KESB-act.") wurden beigezogen. Weiterungen erscheinen nicht notwendig (§§ 66 und 68 Einfüh- rungsgesetz zum Kindes- und Erwachsenenschutzrecht [EG KESR]). Das Verfah- ren erweist sich als spruchreif.</w:t>
      </w:r>
    </w:p>
    <w:p>
      <w:r>
        <w:rPr>
          <w:b/>
        </w:rPr>
        <w:t>E. 3</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w:t>
      </w:r>
    </w:p>
    <w:p>
      <w:r>
        <w:t>- 4 - stets nur Entscheide des Bezirksrates als Vorinstanz sein, nicht hingegen solche der KESB. Zur Beschwerde ist legitimiert, wer durch den angefochtenen Entscheid be- schwert ist. Dies trifft auf die Beschwerdeführer zu. Soweit sie die Beschwerde neu auch im Namen der beiden Kinder erheben wollen (act. 2 S. 1), so ist darauf hinzuweisen, dass sie vor Vorinstanz (zulässigerweise) Beschwerde ausschliess- lich im eigenen Namen erhoben haben und die Kinder damit nicht Verfahrenspar- tei waren; auf die Beschwerde wäre insoweit nicht einzutreten. Daneben enthält die Beschwerde jedenfalls sinngemäss Anträge und eine Begründung (act. 2). Dem Eintreten auf die Beschwerde steht grundsätzlich nichts entgegen.</w:t>
      </w:r>
    </w:p>
    <w:p>
      <w:r>
        <w:rPr>
          <w:b/>
        </w:rPr>
        <w:t>E. 4</w:t>
      </w:r>
    </w:p>
    <w:p>
      <w:r>
        <w:t>Zusammenfassend ist die Beschwerde damit abzuweisen, soweit darauf einzutreten ist. III. Die Beschwerdeführer unterliegen vollumfänglich. Die Kosten des vorliegenden Verfahrens sind ausgangsgemäss den Beschwerdeführern aufzuerlegen (§ 60 Abs. 5 EG KESR i.V.m. Art. 106 Abs. 1 ZPO), und zwar je zur Hälfte unter solida- rischer Haftung. Die Höhe der Entscheidgebühr ist auf Fr. 800.– festzulegen (§ 40 EG KESR i.V.m. Art. 96 ZPO sowie § 12 i.V.m. § 5 Abs. 1 GebV OG). Eine Par- teientschädigung für das vorliegende Beschwerdeverfahren wurde nicht bean- tragt, sie würde aber infolge Unterliegens der Beschwerdeführer ohnehin ausser Betracht fallen.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