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PQ210042 vom 28. Juli 2021</w:t>
      </w:r>
    </w:p>
    <w:p>
      <w:r>
        <w:t>ZH Obergericht, 2021-07-28, DE</w:t>
      </w:r>
    </w:p>
    <w:p>
      <w:r>
        <w:rPr>
          <w:b/>
        </w:rPr>
        <w:t xml:space="preserve">Quelle: </w:t>
      </w:r>
      <w:r>
        <w:t>https://mcp.opencaselaw.ch/entscheid/zh_obergericht_PQ210042</w:t>
      </w:r>
    </w:p>
    <w:p>
      <w:r>
        <w:t>FR: ZH_OBERGERICHT PQ210042 du 28 juillet 2021</w:t>
      </w:r>
    </w:p>
    <w:p>
      <w:r>
        <w:t>IT: ZH_OBERGERICHT PQ210042 del 28 luglio 2021</w:t>
      </w:r>
    </w:p>
    <w:p>
      <w:pPr>
        <w:pStyle w:val="Heading2"/>
      </w:pPr>
      <w:r>
        <w:t>Erwägungen</w:t>
      </w:r>
    </w:p>
    <w:p>
      <w:r>
        <w:rPr>
          <w:b/>
        </w:rPr>
        <w:t>E. 1</w:t>
      </w:r>
    </w:p>
    <w:p>
      <w:r>
        <w:t>Die Parteien sind die Eltern von C._____, der am tt.mm.2012 geboren wur- de. Im Scheidungsurteil des Einzelgerichts am Bezirksgericht Bülach vom 8. Februar 2019 wurde die elterliche Sorge für C._____ beiden Eltern gemeinsam belassen und die Obhut der Mutter zugeteilt. Ferner wurde auf Antrag der Eltern eine Besuchsrechtsbeistandschaft errichtet mit den Aufträgen, sicherzustellen, dass der Vater den Sohn C._____ vierzehntäglich für je vier Stunden besuchen kann, die jeweiligen Besuche zu begleiten und zu überwachen und ein gerichtsüb- liches Besuchsrecht gemäss Scheidungsvereinbarung anzustreben (KESB act. 1).</w:t>
      </w:r>
    </w:p>
    <w:p>
      <w:r>
        <w:rPr>
          <w:b/>
        </w:rPr>
        <w:t>E. 2</w:t>
      </w:r>
    </w:p>
    <w:p>
      <w:r>
        <w:t>Mit Entscheid vom 21. Mai 2019 ernannte die KESB Bülach Nord (KESB) D._____, kjz Bülach, als Beiständin für C._____ und erteilte ihr die entsprechen- den Aufträge (KESB act. 11). Am 1. April 2021 erstattete die Beiständin der KESB ihren Rechenschaftsbericht für die Zeit vom 21. Mai 2019 bis 31. März 2020 und beantragte die Aufhebung der Massnahme (KESB act. 13).</w:t>
      </w:r>
    </w:p>
    <w:p>
      <w:r>
        <w:rPr>
          <w:b/>
        </w:rPr>
        <w:t>E. 3</w:t>
      </w:r>
    </w:p>
    <w:p>
      <w:r>
        <w:t>Nach Eingang des Rechenschaftsberichts der Beiständin hörte die KESB die Mutter, den Vater und C._____ je einzeln an. Mit Entscheid vom 15. Dezember 2020 genehmigte die KESB daraufhin den Bericht der Beiständin, wies ihren An- trag auf Aufhebung der Beistandschaft ab, erteilte den Eltern verschiedene Wei- sungen und passte die Aufgaben der Beiständin an (KESB act. 26). Eine Be- schwerde der Mutter gegen diesen Entscheid wurde vom Bezirksrat Bülach (Vo- rinstanz) mit Urteil vom 9. Juni 2021 abgewiesen (act. 3).</w:t>
      </w:r>
    </w:p>
    <w:p>
      <w:r>
        <w:rPr>
          <w:b/>
        </w:rPr>
        <w:t>E. 4</w:t>
      </w:r>
    </w:p>
    <w:p>
      <w:r>
        <w:t>Gegen das vorinstanzliche Urteil, das ihr am 11. Juni 2021 zugestellt wurde (vgl. BR act. 21 Anhang), wandte sich die Mutter mit einem als Stellungnahme bezeichneten Schreiben vom 14. Juni 2021 an die Kammer, das hier als Be- schwerde entgegengenommen wurde (act. 14).</w:t>
      </w:r>
    </w:p>
    <w:p>
      <w:r>
        <w:t>- 3 -</w:t>
      </w:r>
    </w:p>
    <w:p>
      <w:r>
        <w:rPr>
          <w:b/>
        </w:rPr>
        <w:t>E. 5</w:t>
      </w:r>
    </w:p>
    <w:p>
      <w:r>
        <w:t>Die Mutter wiederholt in ihrer Beschwerde im Wesentlichen, was sie bereits vor Vorinstanz vorbrachte (vgl. act. 2 und BR act. 3). Wo sie mit der Erwähnung von Ziffern auf bestimmte Erwägungen der Vorinstanz zu verweisen scheint, bleibt unklar, was sie daran beanstandet. Auch wenn die Beschwerde die herab- gesetzten Anforderungen an eine Laienbeschwerde im Kindes- und Erwachse- nenschutzrecht erfüllen mag, so dass darauf eingetreten werden kann, ist sie auch in zweiter Instanz abzuweisen, wobei zur Begründung eigentlich auf die aus- führliche und sorgfältige Begründung der Vorinstanz verwiesen werden könnte, gegen welche die Mutter nichts Neues vorbringt. Zur Verdeutlichung ist nachfol- gend dennoch auf einzelne Punkte der Beschwerde einzugehen.</w:t>
      </w:r>
    </w:p>
    <w:p>
      <w:r>
        <w:rPr>
          <w:b/>
        </w:rPr>
        <w:t>E. 6</w:t>
      </w:r>
    </w:p>
    <w:p>
      <w:r>
        <w:t>Mit der Behauptung, dass C._____ den Kontakt zum Vater ablehne, beruft sich die Mutter auf den Kindeswillen. Wie die Vorinstanz erwähnte (act. 3 S. 11 E. 3.5.4 m.H. auf BGer 5A_459/2015, E. 6.2.2), ist bei der Berücksichtigung des Kindeswillens dem Alter des Kindes bzw. dessen Fähigkeit zu autonomer Wil- lensbildung Rechnung zu tragen. Vom Vorliegen dieser Fähigkeit geht die Recht- sprechung ungefähr ab dem 12. Altersjahr aus (BGer 5A_111/2019 E.2.3 m.w.H.). Von dieser Schwelle ist der 9jährige C._____ noch mehrere Jahre entfernt. Mit der Aussage, C._____ sei in seiner Entwicklung sehr weit und könne deshalb "sehr wohl mittlerweile die Zusammenhänge deuten", widerspricht die Mutter indi- rekt dieser natürlichen Vermutung der Rechtsprechung, welche C._____ wegen seines Alters die Urteilsfähigkeit mit Bezug auf den Kontakt zu seinem Vater ab- spricht. Die Objektivität ihrer Einschätzung von C._____s Reife ist jedoch fraglich. Die Vorinstanz hatte angesichts des belasteten Verhältnisses zwischen den Par- teien die Vermutung einer unbewussten oder bewussten Beeinflussung des Wil- lens von C._____ durch die Mutter aufgestellt. Die Argumentation der Mutter in der Beschwerde, welche die Übereinstimmung ihres Standpunkts mit dem von C._____ betont, ist nicht geeignet, diesen Eindruck zu zerstreuen.</w:t>
      </w:r>
    </w:p>
    <w:p>
      <w:r>
        <w:t>- 6 - Dass C._____ aus Sicht der Mutter "die Zusammenhänge deuten" kann, was sie damit illustriert, dass er nicht vergessen habe, dass sein Vater die Vaterschaft angezweifelt habe, dürfte bedeuten, dass er ihre Sicht der Dinge teilt. Das ist ein bekanntes Phänomen in solchen Auseinandersetzungen und vor diesem Hinter- grund kein Zeichen von Reife und der Fähigkeit zu autonomer Willensbildung, sondern bestätigt vielmehr die vorinstanzliche Annahme einer bewussten oder unbewussten Beeinflussung.</w:t>
      </w:r>
    </w:p>
    <w:p>
      <w:r>
        <w:rPr>
          <w:b/>
        </w:rPr>
        <w:t>E. 7</w:t>
      </w:r>
    </w:p>
    <w:p>
      <w:r>
        <w:t>Die Verweigerung des persönlichen Verkehrs kommt ausnahmsweise in Frage, wenn das urteilsfähige Kind den Kontakt zu einem Elternteil aufgrund sei- ner Erfahrungen mit dem persönlichen Verkehr kategorisch verweigert (5A_111/ 2019 vom 9. Juli 2019, E. 2.3 m.H. auf BGE 126 III 219 E. 2.b; vgl. auch 124 III 90 E. 3.c). Um zu verhindern, dass das Kind die (allenfalls unausgesprochenen) Er- wartungen des hauptbetreuenden Elternteils wiederholt, ist jedoch wichtig, dass sich diese Meinung auf eigene Anschauung stützt (vgl. BGE 124 III 90 E. 3.c). Laut Darstellung der Mutter hat C._____ seit 6.5 Jahren - laut vorinstanzlichem Entscheid seit 2017 (act. 3 S. 11 E. 3.5.5) - keinen Kontakt mehr zu seinem Vater. Unabhängig davon, welche dieser Zeitangaben zutrifft, steht fest, dass seine ab- lehnende Meinung nicht auf aktuellen eigenen Erfahrungen beruht. Die Ereignis- se, welche die Mutter als Gründe für seine ablehnende Haltung erwähnt (nament- lich das Miterleben von Gewalt zwischen den Eltern als Kleinkind), liegen denn auch weiter zurück. Es kann daher nicht nur wegen seines Alters, sondern auch wegen des fehlenden aktuellen eigenen Erfahrungshintergrunds nicht auf den Willen von C._____ ab- gestellt werden.</w:t>
      </w:r>
    </w:p>
    <w:p>
      <w:r>
        <w:rPr>
          <w:b/>
        </w:rPr>
        <w:t>E. 8</w:t>
      </w:r>
    </w:p>
    <w:p>
      <w:r>
        <w:t>Das Kindeswohl gilt als oberste Maxime des Kindesrechts, das vor allem bei kleineren Kindern Vorrang hat vor dem Kindeswillen. Auf dieses Prinzip bezieht sich die Mutter mit der Bemerkung, "ein Zwang die Besuchstermine mit dem Kindsvater wahrzunehmen", schade dem Kindeswohl (act. 2).</w:t>
      </w:r>
    </w:p>
    <w:p>
      <w:r>
        <w:t>- 7 - Sollte die Mutter mit der zitierten Aussage geltend machen wollen, der Kontakt zum Vater schade dem Kindswohl, könnte dieser Meinung im vorliegenden Fall nicht gefolgt werden, wo kein schädigendes Fehlverhalten gegenüber dem Kind im Raum steht, sondern der Vorwurf fehlenden Interesses, was sich daran zeige, dass der Vater den unterbrochenen Kontakt nicht auf anderem Weg (Briefe, Ge- schenke, Telefonate) herzustellen versuche (vgl. act. 2). Es wäre zu begrüssen und würde die Chancen einer zukünftigen Wiederannähe- rung vermutlich erhöhen, wenn der Vater sein Interesse am Kontakt mit C._____ mit solchen Zeichen unter Beweis stellen würde, was laut dem Bericht der Bei- ständin in der Vergangenheit nicht geschah (KESB act. 13 S. 4), und der Vater kann sich nicht damit begnügen, die sofortige Durchführung seines Besuchs- rechts zu fordern und inzwischen unter Verweis auf seine Legasthenie seine Mit- wirkung verweigern (vgl. BR act. 12 S. 6 f.). Das spricht jedoch nicht für, sondern gegen die Aufhebung der Beistandschaft, da es zu den Aufgaben der Beiständin gehört, den Vater dabei zu unterstützen, und da zu hoffen ist, das funktioniere in Zukunft besser, nachdem er von der KESB ausdrücklich angewiesen wurde, die Empfehlungen der Beiständin umzusetzen (KESB act. 13 S. 4). Sollte sich die Aussage der Mutter zum Kindeswohl nicht gegen den Kontakt als solchen, sondern gegen den Einsatz von Zwang zu dessen Wiederherstellung richten, geht dieser Einwand ebenfalls an der Sache vorbei. Der neu gefasste Auftrag der Beiständin lautet, C._____ bei der Wiederannäherung zu seinem Va- ter zu begleiten (vgl. KESB act. S. 7 Ziff. 5.a). Begleitung beinhaltet keinen Zwang. Auch die Schlussfolgerung der Beiständin, die Anwendung von Zwang wäre kontraproduktiv und würde das Kindeswohl gefährden (act. KESB act. 13), belegt ihre Sensibilität für dieses Thema und entkräftet dadurch entsprechende Befürchtungen.</w:t>
      </w:r>
    </w:p>
    <w:p>
      <w:r>
        <w:rPr>
          <w:b/>
        </w:rPr>
        <w:t>E. 9</w:t>
      </w:r>
    </w:p>
    <w:p>
      <w:r>
        <w:t>Wenn die Mutter schreibt, sie möchte keine Beistandschaft und keine Be- suchstreffen (act. 2 unten), ist sie mit der Vorinstanz daran zu erinnern, dass nicht zu prüfen ist, ob das im Scheidungsurteil festgesetzte Besuchsrecht des Vaters</w:t>
      </w:r>
    </w:p>
    <w:p>
      <w:r>
        <w:t>- 8 - aufgehoben werden soll, sondern dass nur über die Weiterführung der Besuchs- beistandschaft zu entscheiden ist, welche die Umsetzung dieses Besuchsrechts zum Ziel hat (vgl. act. 3 S. 8 E. 3.4). Die Mutter lässt keinen Zweifel daran, dass sie den Kontakt von C._____ zu sei- nem Vater ablehnt. Über die Beiständin äussert sich die Mutter positiv, was aller- dings in erster Linie darauf zurück zu führen sein dürfte, dass die Beiständin die Aufhebung der Beistandschaft beantragt hatte. Aus ihrem Bericht geht hervor, dass die Mutter nur selektiv mit der Beiständin kooperiert hatte. Im Entscheid vom 15. Dezember 2020 erteilte die KESB der Mutter die Weisung, C._____ positiv unterstützend auf die Kontaktwiederaufnahme zu seinem Vater vorzubereiten (KESB act. S. 7 Ziff. 4). Es bleibt abzuwarten, ob diese Anpassung der Massnahme eine Wirkung zeigt. Dass die Mutter das Ziel dieser Massnahme, den Kontakt von C._____ zu seinem Vater, ablehnt, spricht jedenfalls nicht für, sondern gegen die Aufhebung der Beistandschaft, die zur Überwindung ihres Wi- derstands errichtet wurde. Will die Mutter eine Aufhebung des Besuchsrechts erreichen, das die Grundlage der zu beurteilenden Massnahme darstellt, hat sie bei der KESB eine Änderung des Scheidungsurteils zu verlangen, in dem das Besuchsrecht festgelegt wurde. Zur Erwägung der KESB, eine Aufhebung der Beistandschaft könne frühestens dann geprüft werden, wenn der Auftrag des Bezirksgerichts Bülach umgesetzt wurde (KESB act. 26 D. 5 Ziff. 11), ist präzisierend anzufügen, dass der Auftrag des Bezirksgerichts Bülach aufzuheben wäre, wenn er sich dauerhaft als un- durchführbar erwiese. Der Zeitpunkt, um eine solche Überprüfung von Amtes we- gen vorzunehmen, ist aber zweifellos noch nicht gekommen.</w:t>
      </w:r>
    </w:p>
    <w:p>
      <w:r>
        <w:rPr>
          <w:b/>
        </w:rPr>
        <w:t>E. 10</w:t>
      </w:r>
    </w:p>
    <w:p>
      <w:r>
        <w:t>Die Beiständin erwähnt in ihrem Bericht die Möglichkeit, dass C._____ mit zunehmendem Alter Interesse an seinem Vater zeigen werde, was dann ihrer Meinung nach der richtige Zeitpunkt wäre, um ihm Besuchskontakte zu ermögli- chen (vgl. KESB act.13 S. 5). Damit relativiert sie ihr eigenes Fazit, dass ihr Auf- trag nicht durchführbar sei, was für die vergangene Berichtsperiode zutreffen mag, aber nicht automatisch für die Zukunft gilt.</w:t>
      </w:r>
    </w:p>
    <w:p>
      <w:r>
        <w:t>- 9 - Die angepassten Aufträge der Beiständin und das Alter von C._____, der immer weniger von seiner Mutter abhängig sein wird, verändern die Ausgangslage, so dass mit der Vorinstanz eine erfolgreiche Führung der Beistandschaft für die Zu- kunft nicht ausgeschlossen werden kann (vgl. act. 3 S. 13 E. 3.5.6). Dabei genügt es nicht, darauf zu warten, bis C._____ Interesse am Kontakt zu seinem Vater zeigt, wie es der Beiständin vorzuschweben scheint, um die Bei- standschaft dann wieder zu aktivieren, sondern es braucht die ständige Bereit- schaft der Beiständin, um günstige Bedingungen zu schaffen und zu nutzen, da- mit eine solche Entwicklung eine Chance hat. Solange eine solche Perspektive besteht, ist die Aufhebung der Beistandschaft verfrüht. Die Beschwerde ist daher abzuweisen. III. Da ihre Beschwerde abgewiesen wird, hat die Mutter die Gerichtskosten zu tra- gen, die auf Fr. 800.– festzusetzen sind. Keine Partei hat Anspruch auf eine Par- teientschädigung, die Mutter nicht, weil sie unterliegt, der Vater nicht, weil ihm kei- 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