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PQ190068 vom 25. November 2019</w:t>
      </w:r>
    </w:p>
    <w:p>
      <w:r>
        <w:t>ZH Obergericht, 2019-11-25, DE</w:t>
      </w:r>
    </w:p>
    <w:p>
      <w:r>
        <w:rPr>
          <w:b/>
        </w:rPr>
        <w:t xml:space="preserve">Quelle: </w:t>
      </w:r>
      <w:r>
        <w:t>https://mcp.opencaselaw.ch/entscheid/zh_obergericht_PQ190068</w:t>
      </w:r>
    </w:p>
    <w:p>
      <w:r>
        <w:t>FR: ZH_OBERGERICHT PQ190068 du 25 novembre 2019</w:t>
      </w:r>
    </w:p>
    <w:p>
      <w:r>
        <w:t>IT: ZH_OBERGERICHT PQ190068 del 25 novembre 2019</w:t>
      </w:r>
    </w:p>
    <w:p>
      <w:pPr>
        <w:pStyle w:val="Heading2"/>
      </w:pPr>
      <w:r>
        <w:t>Erwägungen</w:t>
      </w:r>
    </w:p>
    <w:p>
      <w:r>
        <w:rPr>
          <w:b/>
        </w:rPr>
        <w:t>E. 1</w:t>
      </w:r>
    </w:p>
    <w:p>
      <w:r>
        <w:t>Mit Beschluss des Bezirksrats Horgen (nachfolgend Vorinstanz) vom 17. Ja- nuar 1986 wurde B._____ wegen Geistesschwäche im Sinne von Art. 369 aZGB entmündigt. Als Vormund wurde sein Bruder A._____ (nachfolgend Beschwerde- führer) eingesetzt (act. 7/4/25), nachdem im Jahr 1985 die Mutter als zweiter El- ternteil verstorben war. Die beiden Brüder bilden eine Erbengemeinschaft über die Nachlässe ihrer Eltern, zur Hauptsache zwei Liegenschaften umfassend. Im Hinblick auf die damals angestrebte Erbteilung wurde sodann mit Beschluss der Vormundschaftsbehörde C._____ vom 11. November 1992 eine Vertretungsbei- standschaft nach Art. 392 aZGB angeordnet und Rechtsanwalt D._____ als Bei- stand ernannt (act. 7/4/41). Nachdem keine Erbteilung erfolgte, wurde die Kollisi- onsbeistandschaft mit Beschluss der Vormundschaftsbehörde C._____ vom 29. März 1995 aufgehoben und Rechtsanwalt D._____ als Beistand entlassen (act. 7/4/54). Der Beschwerdeführer amtete fortan als Vormund seines Bruders. Mit In- krafttreten des neuen Erwachsenenschutzrechts am 1. Januar 2013 wurde die alt- rechtliche Vormundschaft von Gesetzes wegen in eine umfassende Beistand- schaft nach neuem Recht umgewandelt und diese anschliessend mit Beschluss der Kindes- und Erwachsenenschutzbehörde Bezirk Horgen (nachfolgend KESB) vom 11. Februar 2015 in eine Vertretungsbeistandschaft mit Vermögensverwal- tung nach Art. 394 Abs. 1 und 2 ZGB i.V.m. Art. 395 Abs. 1 ZGB überführt, wel- che nach wie vor durch den Beschwerdeführer geführt wird (act. 7/4/143). Mit Beschluss vom 13. Juni 2018 ernannte die KESB in der bestehenden Vertretungsbeistandschaft mit Vermögensverwaltung E._____ als Ersatzbeistand mit der Aufgabe, die Interessen von B._____ im Nachlassvermögen der 1985 ver- storbenen Mutter zu wahren sowie Berichte und Rechnungen über die Berichtspe- rioden 2013 bis 2017 zu erstellen, unter Entzug der aufschiebenden Wirkung ei- ner allfälligen Beschwerde (act. 7/1A). Gegen diesen Entscheid der KESB erhoben der Beschwerdeführer sowie sein Bruder, beide vertreten durch Rechtsanwalt X._____, mit Eingabe vom 13. Juli 2018 Beschwerde an die Vorinstanz mit den Anträgen, den Entscheid der KESB ersatzlos aufzuheben sowie die KESB anzuweisen, die Rechnung</w:t>
      </w:r>
    </w:p>
    <w:p>
      <w:r>
        <w:t>- 3 - 2013/2014 in Rücksprache mit dem Beschwerdeführer zu genehmigen und der Beschwerde die aufschiebende Wirkung wieder zu erteilen (act. 7/1). Der Bezirks- rat trat mit Beschluss und Urteil vom 17. September 2019 auf die Beschwerde von B._____ sowie auf den Antrag, die KESB anzuweisen, die Rechnung 2013/2014 in Rücksprache mit dem Beschwerdeführer zu genehmigen, nicht ein, schrieb das Gesuch um Wiederherstellung der aufschiebenden Wirkung als mit dem Ent- scheid in der Sache gegenstandslos geworden ab und wies im Übrigen die Be- schwerde des Beschwerdeführers ab (act. 7/11 = act. 3).</w:t>
      </w:r>
    </w:p>
    <w:p>
      <w:r>
        <w:rPr>
          <w:b/>
        </w:rPr>
        <w:t>E. 2</w:t>
      </w:r>
    </w:p>
    <w:p>
      <w:r>
        <w:t>Alles unter Kosten- und Entschädigungsfolge für alle Instanzen zuzüglich MWSt von 7,7 % zu Lasten des Staates." Die Akten des Bezirksrats (act. 7/1-4; act. 7/5-11) sowie diejenigen der KESB (act. 7/4/1-206) wurden beigezogen. Mit Beschluss vom 25. Oktober 2019 wurde der Beschwerde die aufschiebende Wirkung erteilt und die Prozessleitung dele- giert (act. 5). Weiterungen erscheinen nicht notwendig (§§ 66 und 68 Einfüh- rungsgesetz zum Kindes- und Erwachsenenschutzrecht [EG KESR]). Das Verfah- ren ist spruchreif.</w:t>
      </w:r>
    </w:p>
    <w:p>
      <w:r>
        <w:rPr>
          <w:b/>
        </w:rPr>
        <w:t>E. 3</w:t>
      </w:r>
    </w:p>
    <w:p>
      <w:r>
        <w:t>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w:t>
      </w:r>
    </w:p>
    <w:p>
      <w:r>
        <w:t>- 4 -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Zur Beschwerde ist legitimiert, wer durch den angefochtenen Entscheid be- schwert ist. Dies trifft auf den Beschwerdeführer zu. Daneben enthält die Be- schwerde Anträge und eine Begründung (act. 2). Dem Eintreten auf die Be- schwerde steht nichts entgegen.</w:t>
      </w:r>
    </w:p>
    <w:p>
      <w:r>
        <w:rPr>
          <w:b/>
        </w:rPr>
        <w:t>E. 3.1</w:t>
      </w:r>
    </w:p>
    <w:p>
      <w:r>
        <w:t>Die von der Vorinstanz aufgeführten Präjudizien haben eine Gemeinsamkeit: Immer steht ein Rechtsgeschäft zumindest über Teile des Nachlassvermögens an. In BGE 107 II 105 hatte der Vormund eine Ferienwohnung seines minderjäh- rigen Mündels an seine mit ihm im gleichen Haushalt lebende Stieftochter ver- kauft. Auf Klage seines Nachfolgers wurde der Kauf infolge Verstosses gegen Art. 392 Ziff. 2 ZGB für ungültig erklärt – und dies nicht, weil der Verkaufspreis zu tief gewesen wäre, sondern wegen der abstrakten Gefährdung der Interessen des Mündels (etwa schon den Entscheid betreffend, ob die Liegenschaft überhaupt zu verkaufen sei). In BGE 118 II 101 hatte die Mutter von vier minderjährigen Kin- dern mit den Eltern ihres vorverstorbenen Ehemannes einen als "Erbauskauf" be- titelten Vertrag geschlossen: Sie verzichtete namens ihrer Kinder auf ein späteres Erbe von den Grosseltern der Kinder väterlicherseits, gegen Auszahlung einer Auskaufssumme von Fr. 1'000'000.–. Auf Klage der volljährigen Kinder gegen die Geschwister ihres Vaters (nach dem Versterben der Grosseltern) wurde der Er- bauskauf-Vertrag für ungültig erklärt: Massgebend sei nicht, ob die Mutter damals für ihre Kinder nur das beste gewollt habe, sondern der Umstand, dass die Mutter ein (eigenes) Interesse daran hatte, während ihrer Unterhaltspflicht gegenüber den Kindern mit einer grossen Zahlung finanziell entlastet zu werden, sowie dass die Vermehrung des Kindesvermögens durch einen Verzicht auf künftige Rechte der Kinder habe erkauft werden müssen. Im Entscheid 5A_743/2009 vom 4. März 2010 wollte der Onkel seinem zwei- jährigen Neffen (vertreten durch dessen Mutter, die Schwester des Schenkers) u.a. eine Wohnung im Stockwerkeigentum schenken, verbunden mit einem le-</w:t>
      </w:r>
    </w:p>
    <w:p>
      <w:r>
        <w:t>- 8 - benslänglichen entgeltlichen Nutzungsrecht des Schenkers, wobei die Entgeltlich- keit darin bestand, dass der Schenker die auf dem Grundstück haftenden Lasten (Hypothekarschuld) übernehmen würde. Wenig überraschend wurde auch dieses Rechtsgeschäft ohne Ernennung einer Ersatzbeistandschaft nicht zugelassen, da zumindest eine abstrakte Gefährdung der Interessen des Vertretenen bestand, zu denken sei etwa an die auf den Beschenkten zukommenden Kosten und Lasten, für die er persönlich als Mitglied der Stockwerkeigentümergemeinschaft haften würde. Anders als die entsprechende Erwägung der Vorinstanz (act. 3 E. 5.4.) in- sinuiert, hat das Bundesgericht in diesem Entscheid nicht etwa festgehalten, es sei allgemein im Zweifelsfall eine (Kollisions-)Beistandschaft anzuordnen. Die Aussage des Bundesgerichts, im Zweifelsfall sei eine Beistandschaft anzuordnen, bezieht sich auf Fälle, in denen zweifelhaft ist, ob eine Schenkung ausschliesslich Vorteile bringe und keinerlei Verpflichtungen oder Belastungen zur Folge habe (a.a.O., E. 2.3 i.f.). Im von der Vorinstanz ebenfalls zitierten Urteil 5P.199/2003 vom 12. August 2003 schliesslich hatte das höchste Gericht nicht über eine Bei- standschaft infolge Interessenkollision zu entscheiden.</w:t>
      </w:r>
    </w:p>
    <w:p>
      <w:r>
        <w:rPr>
          <w:b/>
        </w:rPr>
        <w:t>E. 3.2</w:t>
      </w:r>
    </w:p>
    <w:p>
      <w:r>
        <w:t>Im vorliegenden Fall bilden der Beschwerdeführer und sein Bruder eine Er- bengemeinschaft, deren Masse im Wesentlichen aus zwei Mehrfamilienhäusern besteht. Anders als in den genannten höchstrichterlichen Urteilen stehen indes weder ein Verkauf einer Liegenschaft noch von Teilen davon (etwa einer einzel- nen Wohnung) noch sonstige Rechtsgeschäfte an, welche über die normale Ver- waltung der Nachlassmasse hinausgehen würden. Auf eine Erbteilung wurde vor mehr als 20 Jahren nach Absprache mit der Vormundschaftsbehörde verzichtet, und dass eine solche nunmehr zur Debatte stehen würde, lässt sich weder dem Entscheid der Vorinstanz noch den Akten entnehmen. Alleine aus dem Umstand, dass der Beistand und die verbeiständete Person ein und derselben Erbenge- meinschaft angehören, lässt sich entgegen der Vorinstanz nicht auf eine (abstrak- te) Interessenkollision schliessen mit dem Resultat, dass eine Ersatzbeistand- schaft zu bestellen wäre. Ansonsten wäre etwa im Fall des Vorversterbens eines Elternteils den Kindern jedes Mal ein Beistand gemäss Art. 306 Abs. 2 ZGB (der kindesschutzrechtlichen Parallelnorm von 403 Abs. 1 ZGB) zu bestellen, bilden doch der überlebende Elternteil sowie die Kinder eine Erbengemeinschaft. Dem</w:t>
      </w:r>
    </w:p>
    <w:p>
      <w:r>
        <w:t>- 9 - ist offensichtlich nicht so. Eine Beistandschaft wird nur erforderlich, falls der über- lebende Elternteil als gesetzlicher Vertreter der Kinder ein Rechtsgeschäft ab- schliessen möchte, welches eine abstrakte Gefährdung der Kindesinteressen mit sich bringt, wie etwa obiges Beispiel von BGE 118 II 101 zeigt. Wie aus den obigen Beispielen aus der Rechtsprechung ebenfalls erhellt, wäre auch im vorliegenden Fall eine Ersatzbeistandschaft gemäss Art. 403 Abs. 1 ZGB dann zu prüfen, wenn der Beistand Rechtsgeschäfte, welche über die Ver- waltung der Nachlassmasse hinausgehen würden, vorzunehmen gedächte. An- ders als in der Beschwerde geltend gemacht (act. 3 S. 9), schliesst der Umstand, dass der Beschwerdeführer und Beistand der einzige Erbe des kinderlosen 75-jährigen Verbeiständeten sein dürfte, eine abstrakte Interessenkollision nicht (auch) theoretisch aus: Wohl würde beispielsweise ein zu günstiger Verkauf eines der beiden Mehrfamilienhäuser auch seinen Anteil an der gemeinsamen Nach- lassmasse sowie seine eigene Anwartschaft in der Erbschaft von seinem Bruder schmälern, doch könnten die Motive für einen solchen Verkauf auf seiner Seite liegen (vgl. etwa BGE 118 II 101 E. 4.a S. 104; BGE 107 II 105 E. 4 S. 111), weshalb ein Verkauf nicht ohne Errichtung einer Ersatzbeistandschaft gemäss Art. 403 Abs. 1 ZGB möglich wäre. Solcherlei steht indes vorliegend nicht zur De- batte.</w:t>
      </w:r>
    </w:p>
    <w:p>
      <w:r>
        <w:rPr>
          <w:b/>
        </w:rPr>
        <w:t>E. 4</w:t>
      </w:r>
    </w:p>
    <w:p>
      <w:r>
        <w:t>Zusammenfassend ist damit festzuhalten, dass die Vorinstanz Art. 403 Abs. 1 ZGB verletzt hat, indem sie zu Unrecht das Vorliegen einer abstrakten In- teressenkollision bejaht hat. Wie es sich mit der vom Beschwerdeführer weiter geltend gemachten Rüge des "venire contra factum proprium" verhält, kann damit offen bleiben. Die Vorinstanz hat die Beschwerde zu Unrecht abgewiesen, mit welcher der Beschwerdeführer die Aufhebung des KESB-Beschlusses vom 13. Juni 2018 ver- langt hatte. Die Beschwerde ist demnach gutzuheissen, soweit darauf einzutreten ist, und der Entscheid der Vorinstanz sowie der Beschluss der KESB vom 13. Juni 2018 sind aufzuheben. Damit werden die KESB und der Beschwerdeführer (auch) im Rahmen der Vertretungsbeistandschaft mit Vermögensverwaltung im Nach- lassvermögen der verstorbenen Mutter weiterhin zusammen arbeiten, was auf</w:t>
      </w:r>
    </w:p>
    <w:p>
      <w:r>
        <w:t>- 10 - beiden Seiten Anstrengungen erforderlich machen wird, dürfte doch das Klima nach einem über zwei Instanzen ausgetragenen Gerichtsverfahren nicht unbelas- tet sein. Der Referent hat dem Beschwerdeführer sowie der KESB nach Eingang der Vorakten angeboten, im Rahmen einer Instruktionsverhandlung nach Lösun- gen für eine gedeihliche Zusammenarbeit zu suchen (act. 8). Dass nur der Be- schwerdeführer, nicht aber die KESB an einem solchen Vorgehen interessiert war (act. 9 f.), ist zu bedauern und wird der Behörde nunmehr Veranlassung sein, al- les in ihrer Macht Stehende zu tun, um die Wogen zu glätten. III. Die Beschwerde wird im Hauptpunkt gutgeheissen und im Nebenpunkt wird da- rauf nicht eingetreten. Es rechtfertigt sich, von der Erhebung einer Entscheidge- bühr für das obergerichtliche Verfahren abzusehen. Als Folge der Aufhebung der vorinstanzlichen Entscheide sind die Kosten des bezirksrätlichen Verfahrens der Bezirksratskasse und diejenigen des KESB-Verfahrens der KESB zu belassen. Eine Parteientschädigung ist nicht zuzusprechen, da der angefochtene Entscheid nicht qualifiziert unrichtig war (vgl. OGer PQ160068 vom 9. November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