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PQ190050 vom 26. August 2019</w:t>
      </w:r>
    </w:p>
    <w:p>
      <w:r>
        <w:t>ZH Obergericht, 2019-08-26, DE</w:t>
      </w:r>
    </w:p>
    <w:p>
      <w:r>
        <w:rPr>
          <w:b/>
        </w:rPr>
        <w:t xml:space="preserve">Quelle: </w:t>
      </w:r>
      <w:r>
        <w:t>https://mcp.opencaselaw.ch/entscheid/zh_obergericht_PQ190050</w:t>
      </w:r>
    </w:p>
    <w:p>
      <w:r>
        <w:t>FR: ZH_OBERGERICHT PQ190050 du 26 août 2019</w:t>
      </w:r>
    </w:p>
    <w:p>
      <w:r>
        <w:t>IT: ZH_OBERGERICHT PQ190050 del 26 agosto 2019</w:t>
      </w:r>
    </w:p>
    <w:p>
      <w:pPr>
        <w:pStyle w:val="Heading2"/>
      </w:pPr>
      <w:r>
        <w:t>Volltext</w:t>
      </w:r>
    </w:p>
    <w:p>
      <w:r>
        <w:t>§ 65 EG KESR, § 67 EG KESR, Noven in der Beschwerde. In Sachen des Kin- des- und Erwachsenenschutzes gilt generell kein Noven-Ausschluss. (aus einem Entscheid des Obergerichts:) 2.3 Weiter gelten aufgrund von § 67 EG KESR im Beschwerdeverfahren an sich Novenschranken, analog den Regeln des Art. 317 Abs. 1 ZPO. Indes kom- men in den Belangen des Kindesschutzes sowohl die uneingeschränkte Untersu- chungsmaxime als auch die Offizialmaxime zur Anwendung (vgl. § 65 EG KESR, Art. 446 Abs. 1 und 3 ZGB sowie Art. 296 Abs. 1 und 3 ZPO; vgl. auch BGer Urteil 5A_528/2015 vom 21. Januar 2016, E. 2, sowie BGE 144 III 349). Gemäss kon- stanter Praxis der Kammer gilt dasselbe bei Erwachsenenschutzbelangen, und zwar zum einen, weil weder das ZGB in Art. 446 noch das EG KESR bei der Re- gelung der Beschwerde für die Erwachsenenschutzbelangen von den Kindes- schutzbelangen abweichende Regelungen aufstellen. Zum anderen ist die Offi- zialmaxime sachlich untrennbar mit der Untersuchungsmaxime verbunden (vgl. etwa STECK, a.a.O., Art. 446 N 8) und hat sie daher zwangsläufig auch im Be- schwerdeverfahren zu gelten (gl. M. STECK, a.a.O., TUOR/SCHNYDER/JUNGO, ZGB, 14. A., Zürich 2015, S. 742, dort Rz. 21, MARANTA/AUER/MARTI, in: BSK ZGB I, 6. A., Basel 2018, Art. 446 N 40 f.). Im Übrigen gelten für Beschwerden i.S. der §§ 64 ff. EG KESR i.V.m. den Art. 450 - 450c ZGB die selben allgemeinen Prozessvoraussetzungen wie für die in der ZPO geregelten Rechtsmittel. Es sind daher insbesondere die Art. 59 f. ZPO zu beachten. Obergericht, II. Zivilkammer Urteil vom 26. August 2019 Geschäfts-Nr.: PQ190050-O/U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